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2314A"/>
          <w:sz w:val="30"/>
          <w:szCs w:val="30"/>
        </w:rPr>
        <w:t xml:space="preserve">SOAC Field vs CoolSheet Website — PVT Energy</w:t>
      </w:r>
    </w:p>
    <w:p>
      <w:pPr>
        <w:spacing w:after="240"/>
      </w:pPr>
      <w:r>
        <w:rPr>
          <w:color w:val="5A6A7A"/>
          <w:sz w:val="20"/>
          <w:szCs w:val="20"/>
        </w:rPr>
        <w:t xml:space="preserve">Sydney Olympic Park  |  534.7 m² collector  |  aquatic (pool) preset  |  matched 19-day window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200"/>
        <w:gridCol w:w="2200"/>
        <w:gridCol w:w="2200"/>
      </w:tblGrid>
      <w:tr>
        <w:tc>
          <w:tcPr>
            <w:tcW w:type="dxa" w:w="276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1A5F9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Same 19-day window</w:t>
            </w:r>
            <w:r>
              <w:rPr>
                <w:b/>
                <w:bCs/>
                <w:color w:val="FFFFFF"/>
                <w:sz w:val="22"/>
                <w:szCs w:val="22"/>
              </w:rPr>
              <w:br/>
              <w:t xml:space="preserve">(2–20 Mar 2026)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1A5F9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  <w:r>
              <w:rPr>
                <w:b/>
                <w:bCs/>
                <w:color w:val="FFFFFF"/>
                <w:sz w:val="22"/>
                <w:szCs w:val="22"/>
              </w:rPr>
              <w:br/>
              <w:t xml:space="preserve">measured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1A5F9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Website</w:t>
            </w:r>
            <w:r>
              <w:rPr>
                <w:b/>
                <w:bCs/>
                <w:color w:val="FFFFFF"/>
                <w:sz w:val="22"/>
                <w:szCs w:val="22"/>
              </w:rPr>
              <w:br/>
              <w:t xml:space="preserve">(default)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1A5F9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Website</w:t>
            </w:r>
            <w:r>
              <w:rPr>
                <w:b/>
                <w:bCs/>
                <w:color w:val="FFFFFF"/>
                <w:sz w:val="22"/>
                <w:szCs w:val="22"/>
              </w:rPr>
              <w:br/>
              <w:t xml:space="preserve">(SOAC collector)</w:t>
            </w:r>
          </w:p>
        </w:tc>
      </w:tr>
      <w:tr>
        <w:tc>
          <w:tcPr>
            <w:tcW w:type="dxa" w:w="276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EEF4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A38"/>
                <w:sz w:val="22"/>
                <w:szCs w:val="22"/>
              </w:rPr>
              <w:t xml:space="preserve">PVT thermal (kWh)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38"/>
                <w:sz w:val="22"/>
                <w:szCs w:val="22"/>
              </w:rPr>
              <w:t xml:space="preserve">5,888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2A38"/>
                <w:sz w:val="22"/>
                <w:szCs w:val="22"/>
              </w:rPr>
              <w:t xml:space="preserve">15,996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2A38"/>
                <w:sz w:val="22"/>
                <w:szCs w:val="22"/>
              </w:rPr>
              <w:t xml:space="preserve">22,915</w:t>
            </w:r>
          </w:p>
        </w:tc>
      </w:tr>
      <w:tr>
        <w:tc>
          <w:tcPr>
            <w:tcW w:type="dxa" w:w="276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EEF4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A38"/>
                <w:sz w:val="22"/>
                <w:szCs w:val="22"/>
              </w:rPr>
              <w:t xml:space="preserve">PVT electricity (kWh)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A6A2A"/>
                <w:sz w:val="22"/>
                <w:szCs w:val="22"/>
              </w:rPr>
              <w:t xml:space="preserve">not measured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2A38"/>
                <w:sz w:val="22"/>
                <w:szCs w:val="22"/>
              </w:rPr>
              <w:t xml:space="preserve">9,982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2A38"/>
                <w:sz w:val="22"/>
                <w:szCs w:val="22"/>
              </w:rPr>
              <w:t xml:space="preserve">10,169</w:t>
            </w:r>
          </w:p>
        </w:tc>
      </w:tr>
      <w:tr>
        <w:tc>
          <w:tcPr>
            <w:tcW w:type="dxa" w:w="276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EEF4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A38"/>
                <w:sz w:val="22"/>
                <w:szCs w:val="22"/>
              </w:rPr>
              <w:t xml:space="preserve">Thermal: website ÷ field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2A38"/>
                <w:sz w:val="22"/>
                <w:szCs w:val="22"/>
              </w:rPr>
              <w:t xml:space="preserve">1.0×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F2F22"/>
                <w:sz w:val="22"/>
                <w:szCs w:val="22"/>
              </w:rPr>
              <w:t xml:space="preserve">2.7× higher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F2F22"/>
                <w:sz w:val="22"/>
                <w:szCs w:val="22"/>
              </w:rPr>
              <w:t xml:space="preserve">3.9× higher</w:t>
            </w:r>
          </w:p>
        </w:tc>
      </w:tr>
    </w:tbl>
    <w:p>
      <w:pPr>
        <w:spacing w:after="60" w:before="260"/>
      </w:pPr>
      <w:r>
        <w:rPr>
          <w:b/>
          <w:bCs/>
          <w:color w:val="12314A"/>
          <w:sz w:val="22"/>
          <w:szCs w:val="22"/>
        </w:rPr>
        <w:t xml:space="preserve">Why the website reads higher:</w:t>
      </w:r>
    </w:p>
    <w:p>
      <w:pPr>
        <w:spacing w:after="40"/>
      </w:pPr>
      <w:r>
        <w:rPr>
          <w:color w:val="3A4A58"/>
          <w:sz w:val="20"/>
          <w:szCs w:val="20"/>
        </w:rPr>
        <w:t xml:space="preserve">• Operating time — the real array generated for only ~111 hours over the 19 days (pump control, cloud, downtime); the model assumes the collector harvests whenever the sun is up.</w:t>
      </w:r>
    </w:p>
    <w:p>
      <w:pPr>
        <w:spacing w:after="40"/>
      </w:pPr>
      <w:r>
        <w:rPr>
          <w:color w:val="3A4A58"/>
          <w:sz w:val="20"/>
          <w:szCs w:val="20"/>
        </w:rPr>
        <w:t xml:space="preserve">• Real-world derating — the field delivers about 0.63× the ISO-predicted steady-state efficiency at matched bright-sun conditions (field η ≈ 0.20 vs predicted ≈ 0.32).</w:t>
      </w:r>
    </w:p>
    <w:p>
      <w:pPr>
        <w:spacing w:after="40"/>
      </w:pPr>
      <w:r>
        <w:rPr>
          <w:color w:val="3A4A58"/>
          <w:sz w:val="20"/>
          <w:szCs w:val="20"/>
        </w:rPr>
        <w:t xml:space="preserve">• Weather — the website uses a Typical Meteorological Year, not the actual (partly overcast) March 2026.</w:t>
      </w:r>
    </w:p>
    <w:p>
      <w:pPr>
        <w:spacing w:after="40"/>
      </w:pPr>
      <w:r>
        <w:rPr>
          <w:color w:val="3A4A58"/>
          <w:sz w:val="20"/>
          <w:szCs w:val="20"/>
        </w:rPr>
        <w:t xml:space="preserve">• Using SOAC's own lossy coefficients does not lower the estimate, because pool inlet water sits near ambient so the heat-loss term stays small.</w:t>
      </w:r>
    </w:p>
    <w:p>
      <w:pPr>
        <w:spacing w:before="200"/>
      </w:pPr>
      <w:r>
        <w:rPr>
          <w:i/>
          <w:iCs/>
          <w:color w:val="6A7684"/>
          <w:sz w:val="18"/>
          <w:szCs w:val="18"/>
        </w:rPr>
        <w:t xml:space="preserve">Note: the field dataset has no PV-electricity sensor, so PVT electricity cannot be validated here — only the website estimate is shown. Website annual figures (PVT thermal ≈ 308,000 kWh default) are not comparable to a 19-day field window and are excluded.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2026-07-02T02:31:20.219Z</dcterms:created>
  <dcterms:modified xsi:type="dcterms:W3CDTF">2026-07-02T02:31:20.220Z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