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642E0D" w14:textId="77777777" w:rsidR="001639DA" w:rsidRDefault="007D7D8D">
      <w:pPr>
        <w:spacing w:after="40"/>
        <w:jc w:val="center"/>
      </w:pPr>
      <w:r>
        <w:rPr>
          <w:b/>
          <w:bCs/>
          <w:color w:val="1F3864"/>
          <w:sz w:val="28"/>
          <w:szCs w:val="28"/>
        </w:rPr>
        <w:t>Final Project Proposal</w:t>
      </w:r>
    </w:p>
    <w:p w14:paraId="7A4770F3" w14:textId="77777777" w:rsidR="001639DA" w:rsidRDefault="007D7D8D">
      <w:pPr>
        <w:spacing w:after="40"/>
        <w:jc w:val="center"/>
      </w:pPr>
      <w:r>
        <w:rPr>
          <w:b/>
          <w:bCs/>
          <w:color w:val="2E5496"/>
          <w:sz w:val="23"/>
          <w:szCs w:val="23"/>
        </w:rPr>
        <w:t>Fertility, Female Labor Participation, and Economic Conditions: A Comparative Analysis of Lebanon and Selected Countries</w:t>
      </w:r>
    </w:p>
    <w:p w14:paraId="21C51E61" w14:textId="65D25BB0" w:rsidR="001639DA" w:rsidRDefault="007D7D8D">
      <w:pPr>
        <w:spacing w:after="100"/>
        <w:jc w:val="center"/>
      </w:pPr>
      <w:r>
        <w:rPr>
          <w:sz w:val="20"/>
          <w:szCs w:val="20"/>
        </w:rPr>
        <w:t xml:space="preserve">Prepared by: Mira Mansour </w:t>
      </w:r>
      <w:r w:rsidR="002B4C03">
        <w:rPr>
          <w:sz w:val="20"/>
          <w:szCs w:val="20"/>
        </w:rPr>
        <w:t>-</w:t>
      </w:r>
      <w:r>
        <w:rPr>
          <w:sz w:val="20"/>
          <w:szCs w:val="20"/>
        </w:rPr>
        <w:t xml:space="preserve"> Fida Karam  |  DSC614 </w:t>
      </w:r>
      <w:r w:rsidR="002B4C03">
        <w:rPr>
          <w:sz w:val="20"/>
          <w:szCs w:val="20"/>
        </w:rPr>
        <w:t>-</w:t>
      </w:r>
      <w:r>
        <w:rPr>
          <w:sz w:val="20"/>
          <w:szCs w:val="20"/>
        </w:rPr>
        <w:t xml:space="preserve"> Data Visualization</w:t>
      </w:r>
    </w:p>
    <w:p w14:paraId="7C89C284" w14:textId="77777777" w:rsidR="00EF08F8" w:rsidRPr="00EF08F8" w:rsidRDefault="007D7D8D" w:rsidP="00EF08F8">
      <w:pPr>
        <w:pStyle w:val="Heading1"/>
        <w:spacing w:before="160" w:after="60"/>
      </w:pPr>
      <w:r>
        <w:rPr>
          <w:b/>
          <w:bCs/>
          <w:color w:val="1F3864"/>
          <w:sz w:val="24"/>
          <w:szCs w:val="24"/>
        </w:rPr>
        <w:t xml:space="preserve"> </w:t>
      </w:r>
    </w:p>
    <w:p w14:paraId="222B2BB5" w14:textId="4D1011DA" w:rsidR="001639DA" w:rsidRDefault="007D7D8D" w:rsidP="00DA637E">
      <w:pPr>
        <w:pStyle w:val="Heading1"/>
        <w:numPr>
          <w:ilvl w:val="0"/>
          <w:numId w:val="4"/>
        </w:numPr>
        <w:spacing w:before="160" w:after="60"/>
      </w:pPr>
      <w:r>
        <w:rPr>
          <w:b/>
          <w:bCs/>
          <w:color w:val="1F3864"/>
          <w:sz w:val="24"/>
          <w:szCs w:val="24"/>
        </w:rPr>
        <w:t>Importance of the Topic</w:t>
      </w:r>
    </w:p>
    <w:p w14:paraId="6D3888A1" w14:textId="58796849" w:rsidR="001639DA" w:rsidRDefault="007D7D8D" w:rsidP="007D7D8D">
      <w:pPr>
        <w:spacing w:after="80"/>
        <w:jc w:val="both"/>
      </w:pPr>
      <w:r>
        <w:rPr>
          <w:sz w:val="21"/>
          <w:szCs w:val="21"/>
        </w:rPr>
        <w:t>The relationship between female labor force participation and fertility is central to understanding demographic and economic development. In much of the Arab world, women are becoming more educated and having fewer children, yet their entry into the workfo</w:t>
      </w:r>
      <w:r>
        <w:rPr>
          <w:sz w:val="21"/>
          <w:szCs w:val="21"/>
        </w:rPr>
        <w:t xml:space="preserve">rce has barely changed. Researchers call this the “MENA paradox,” and Lebanon sits at its heart. </w:t>
      </w:r>
      <w:r w:rsidRPr="006B4178">
        <w:rPr>
          <w:sz w:val="21"/>
          <w:szCs w:val="21"/>
          <w:highlight w:val="yellow"/>
        </w:rPr>
        <w:t>The 2019 financial collapse</w:t>
      </w:r>
      <w:r>
        <w:rPr>
          <w:sz w:val="21"/>
          <w:szCs w:val="21"/>
        </w:rPr>
        <w:t xml:space="preserve"> pushed female unemployment </w:t>
      </w:r>
      <w:r w:rsidR="006B4178">
        <w:rPr>
          <w:sz w:val="21"/>
          <w:szCs w:val="21"/>
        </w:rPr>
        <w:t>to</w:t>
      </w:r>
      <w:r>
        <w:rPr>
          <w:sz w:val="21"/>
          <w:szCs w:val="21"/>
        </w:rPr>
        <w:t xml:space="preserve"> </w:t>
      </w:r>
      <w:r w:rsidR="006B4178">
        <w:rPr>
          <w:sz w:val="21"/>
          <w:szCs w:val="21"/>
        </w:rPr>
        <w:t>16.2</w:t>
      </w:r>
      <w:r>
        <w:rPr>
          <w:sz w:val="21"/>
          <w:szCs w:val="21"/>
        </w:rPr>
        <w:t>%</w:t>
      </w:r>
      <w:r w:rsidR="006B4178">
        <w:rPr>
          <w:sz w:val="21"/>
          <w:szCs w:val="21"/>
        </w:rPr>
        <w:t xml:space="preserve"> by 2020</w:t>
      </w:r>
      <w:r>
        <w:rPr>
          <w:sz w:val="21"/>
          <w:szCs w:val="21"/>
        </w:rPr>
        <w:t xml:space="preserve">, making Lebanon a particularly striking case: an extreme economic shock layered on top </w:t>
      </w:r>
      <w:r>
        <w:rPr>
          <w:sz w:val="21"/>
          <w:szCs w:val="21"/>
        </w:rPr>
        <w:t>of an already puzzling labor market pattern.</w:t>
      </w:r>
    </w:p>
    <w:p w14:paraId="72D3236B" w14:textId="77777777" w:rsidR="00DA637E" w:rsidRDefault="00DA637E" w:rsidP="007D7D8D">
      <w:pPr>
        <w:spacing w:after="80"/>
        <w:jc w:val="both"/>
        <w:rPr>
          <w:sz w:val="21"/>
          <w:szCs w:val="21"/>
        </w:rPr>
      </w:pPr>
    </w:p>
    <w:p w14:paraId="6CD95FF1" w14:textId="6F91E7F4" w:rsidR="00DA637E" w:rsidRDefault="00A506A5" w:rsidP="007D7D8D">
      <w:pPr>
        <w:spacing w:after="60"/>
        <w:jc w:val="both"/>
        <w:rPr>
          <w:sz w:val="21"/>
          <w:szCs w:val="21"/>
        </w:rPr>
      </w:pPr>
      <w:r w:rsidRPr="00A506A5">
        <w:rPr>
          <w:sz w:val="21"/>
          <w:szCs w:val="21"/>
        </w:rPr>
        <w:t>This project examines that pattern directly. We compare Lebanon with five Arab countries (Jordan, Egypt, Tunisia, Morocco, Algeria) and five non-Arab countries (Turkey, Iran, Georgia, Albania, Armenia). The non-Arab comparators were selected based on their GDP per capita prior to Lebanon’s 2019 collapse, when Lebanon sat around $8,000</w:t>
      </w:r>
      <w:r w:rsidR="002B4C03">
        <w:rPr>
          <w:sz w:val="21"/>
          <w:szCs w:val="21"/>
        </w:rPr>
        <w:t>-</w:t>
      </w:r>
      <w:r w:rsidRPr="00A506A5">
        <w:rPr>
          <w:sz w:val="21"/>
          <w:szCs w:val="21"/>
        </w:rPr>
        <w:t>$9,000 and these countries occupied a broadly similar income range. Including them allows us to test whether the participation gap is a MENA-specific phenomenon or one that appears more widely at comparable development levels. Data visualization suits this kind of analysis well because the variables span time, country, and multiple indicators at once, and visual tools surface patterns that numbers in a table often miss.</w:t>
      </w:r>
    </w:p>
    <w:p w14:paraId="092C2B9C" w14:textId="77777777" w:rsidR="00A506A5" w:rsidRDefault="00A506A5" w:rsidP="007D7D8D">
      <w:pPr>
        <w:spacing w:after="60"/>
        <w:jc w:val="both"/>
        <w:rPr>
          <w:b/>
          <w:bCs/>
          <w:sz w:val="21"/>
          <w:szCs w:val="21"/>
        </w:rPr>
      </w:pPr>
    </w:p>
    <w:p w14:paraId="70BE7994" w14:textId="40A3F421" w:rsidR="001639DA" w:rsidRDefault="007D7D8D" w:rsidP="007D7D8D">
      <w:pPr>
        <w:spacing w:after="60"/>
        <w:jc w:val="both"/>
      </w:pPr>
      <w:r>
        <w:rPr>
          <w:b/>
          <w:bCs/>
          <w:sz w:val="21"/>
          <w:szCs w:val="21"/>
        </w:rPr>
        <w:t xml:space="preserve">Main research question: </w:t>
      </w:r>
      <w:r>
        <w:rPr>
          <w:sz w:val="21"/>
          <w:szCs w:val="21"/>
        </w:rPr>
        <w:t>What is the relationship between female labor force participation and fertility in Lebanon, and how does it compare to similar countries when economic conditions are accounted for?</w:t>
      </w:r>
    </w:p>
    <w:p w14:paraId="73D1DC2C" w14:textId="77777777" w:rsidR="00DA637E" w:rsidRDefault="00DA637E" w:rsidP="007D7D8D">
      <w:pPr>
        <w:spacing w:after="60"/>
        <w:jc w:val="both"/>
        <w:rPr>
          <w:b/>
          <w:bCs/>
          <w:sz w:val="21"/>
          <w:szCs w:val="21"/>
        </w:rPr>
      </w:pPr>
    </w:p>
    <w:p w14:paraId="564B1B40" w14:textId="4F2AA213" w:rsidR="001639DA" w:rsidRDefault="007D7D8D" w:rsidP="007D7D8D">
      <w:pPr>
        <w:jc w:val="both"/>
      </w:pPr>
      <w:r>
        <w:rPr>
          <w:b/>
          <w:bCs/>
          <w:sz w:val="21"/>
          <w:szCs w:val="21"/>
        </w:rPr>
        <w:t>Expected f</w:t>
      </w:r>
      <w:r>
        <w:rPr>
          <w:b/>
          <w:bCs/>
          <w:sz w:val="21"/>
          <w:szCs w:val="21"/>
        </w:rPr>
        <w:t xml:space="preserve">inding: </w:t>
      </w:r>
      <w:r>
        <w:rPr>
          <w:sz w:val="21"/>
          <w:szCs w:val="21"/>
        </w:rPr>
        <w:t>We expect Lebanon to show the MENA paradox in full: high education, low participation, and a spike in female unemployment after 2019 that is sharper than comparator countries. We also expect a weak fertility</w:t>
      </w:r>
      <w:r w:rsidR="002D7C84">
        <w:rPr>
          <w:sz w:val="21"/>
          <w:szCs w:val="21"/>
        </w:rPr>
        <w:t>-</w:t>
      </w:r>
      <w:r>
        <w:rPr>
          <w:sz w:val="21"/>
          <w:szCs w:val="21"/>
        </w:rPr>
        <w:t xml:space="preserve">participation link, consistent with the </w:t>
      </w:r>
      <w:r>
        <w:rPr>
          <w:sz w:val="21"/>
          <w:szCs w:val="21"/>
        </w:rPr>
        <w:t>broader finding that fertility is not the main barrier keeping women out of work in this region.</w:t>
      </w:r>
    </w:p>
    <w:p w14:paraId="06408DB8" w14:textId="77777777" w:rsidR="007D7D8D" w:rsidRDefault="007D7D8D" w:rsidP="007D7D8D">
      <w:pPr>
        <w:jc w:val="both"/>
        <w:rPr>
          <w:sz w:val="21"/>
          <w:szCs w:val="21"/>
        </w:rPr>
      </w:pPr>
      <w:r>
        <w:rPr>
          <w:sz w:val="21"/>
          <w:szCs w:val="21"/>
        </w:rPr>
        <w:t xml:space="preserve">The sub-questions guiding the analysis are: </w:t>
      </w:r>
    </w:p>
    <w:p w14:paraId="4DFE9433" w14:textId="4DFE3736" w:rsidR="007D7D8D" w:rsidRPr="007D7D8D" w:rsidRDefault="007D7D8D" w:rsidP="007D7D8D">
      <w:pPr>
        <w:pStyle w:val="ListParagraph"/>
        <w:numPr>
          <w:ilvl w:val="0"/>
          <w:numId w:val="7"/>
        </w:numPr>
        <w:jc w:val="both"/>
        <w:rPr>
          <w:sz w:val="21"/>
          <w:szCs w:val="21"/>
        </w:rPr>
      </w:pPr>
      <w:r w:rsidRPr="007D7D8D">
        <w:rPr>
          <w:sz w:val="21"/>
          <w:szCs w:val="21"/>
        </w:rPr>
        <w:t>H</w:t>
      </w:r>
      <w:r w:rsidRPr="007D7D8D">
        <w:rPr>
          <w:sz w:val="21"/>
          <w:szCs w:val="21"/>
        </w:rPr>
        <w:t>ow have fertility and f</w:t>
      </w:r>
      <w:bookmarkStart w:id="0" w:name="_GoBack"/>
      <w:bookmarkEnd w:id="0"/>
      <w:r w:rsidRPr="007D7D8D">
        <w:rPr>
          <w:sz w:val="21"/>
          <w:szCs w:val="21"/>
        </w:rPr>
        <w:t xml:space="preserve">emale labor force participation evolved in Lebanon versus comparators? </w:t>
      </w:r>
    </w:p>
    <w:p w14:paraId="1BA87C51" w14:textId="77777777" w:rsidR="007D7D8D" w:rsidRPr="007D7D8D" w:rsidRDefault="007D7D8D" w:rsidP="007D7D8D">
      <w:pPr>
        <w:pStyle w:val="ListParagraph"/>
        <w:numPr>
          <w:ilvl w:val="0"/>
          <w:numId w:val="7"/>
        </w:numPr>
        <w:jc w:val="both"/>
        <w:rPr>
          <w:sz w:val="21"/>
          <w:szCs w:val="21"/>
        </w:rPr>
      </w:pPr>
      <w:r w:rsidRPr="007D7D8D">
        <w:rPr>
          <w:sz w:val="21"/>
          <w:szCs w:val="21"/>
        </w:rPr>
        <w:t>Does the education</w:t>
      </w:r>
      <w:r w:rsidR="00A506A5" w:rsidRPr="007D7D8D">
        <w:rPr>
          <w:sz w:val="21"/>
          <w:szCs w:val="21"/>
        </w:rPr>
        <w:t>-</w:t>
      </w:r>
      <w:r w:rsidRPr="007D7D8D">
        <w:rPr>
          <w:sz w:val="21"/>
          <w:szCs w:val="21"/>
        </w:rPr>
        <w:t xml:space="preserve">participation disconnect hold? </w:t>
      </w:r>
    </w:p>
    <w:p w14:paraId="469CD23D" w14:textId="77777777" w:rsidR="007D7D8D" w:rsidRPr="007D7D8D" w:rsidRDefault="007D7D8D" w:rsidP="007D7D8D">
      <w:pPr>
        <w:pStyle w:val="ListParagraph"/>
        <w:numPr>
          <w:ilvl w:val="0"/>
          <w:numId w:val="7"/>
        </w:numPr>
        <w:jc w:val="both"/>
        <w:rPr>
          <w:sz w:val="21"/>
          <w:szCs w:val="21"/>
        </w:rPr>
      </w:pPr>
      <w:r w:rsidRPr="007D7D8D">
        <w:rPr>
          <w:sz w:val="21"/>
          <w:szCs w:val="21"/>
        </w:rPr>
        <w:t xml:space="preserve">How does GDP per capita shape the relationship? </w:t>
      </w:r>
    </w:p>
    <w:p w14:paraId="1BFA38E6" w14:textId="77777777" w:rsidR="007D7D8D" w:rsidRPr="007D7D8D" w:rsidRDefault="007D7D8D" w:rsidP="007D7D8D">
      <w:pPr>
        <w:pStyle w:val="ListParagraph"/>
        <w:numPr>
          <w:ilvl w:val="0"/>
          <w:numId w:val="7"/>
        </w:numPr>
        <w:jc w:val="both"/>
        <w:rPr>
          <w:sz w:val="21"/>
          <w:szCs w:val="21"/>
        </w:rPr>
      </w:pPr>
      <w:r w:rsidRPr="007D7D8D">
        <w:rPr>
          <w:sz w:val="21"/>
          <w:szCs w:val="21"/>
        </w:rPr>
        <w:t xml:space="preserve">Does female unemployment account for participation shortfalls, especially post-2019? </w:t>
      </w:r>
    </w:p>
    <w:p w14:paraId="1A614317" w14:textId="4D947F77" w:rsidR="001639DA" w:rsidRDefault="007D7D8D" w:rsidP="007D7D8D">
      <w:pPr>
        <w:pStyle w:val="ListParagraph"/>
        <w:numPr>
          <w:ilvl w:val="0"/>
          <w:numId w:val="7"/>
        </w:numPr>
        <w:jc w:val="both"/>
      </w:pPr>
      <w:r w:rsidRPr="007D7D8D">
        <w:rPr>
          <w:sz w:val="21"/>
          <w:szCs w:val="21"/>
        </w:rPr>
        <w:t>W</w:t>
      </w:r>
      <w:r w:rsidRPr="007D7D8D">
        <w:rPr>
          <w:sz w:val="21"/>
          <w:szCs w:val="21"/>
        </w:rPr>
        <w:t>here does Lebanon fall relative to Arab and non-Arab peers?</w:t>
      </w:r>
    </w:p>
    <w:p w14:paraId="588598E7" w14:textId="77777777" w:rsidR="00DA637E" w:rsidRDefault="00DA637E" w:rsidP="007D7D8D">
      <w:pPr>
        <w:pStyle w:val="Heading1"/>
        <w:spacing w:before="160" w:after="60"/>
        <w:jc w:val="both"/>
        <w:rPr>
          <w:b/>
          <w:bCs/>
          <w:color w:val="1F3864"/>
          <w:sz w:val="24"/>
          <w:szCs w:val="24"/>
        </w:rPr>
      </w:pPr>
    </w:p>
    <w:p w14:paraId="20577EDB" w14:textId="54A8FD66" w:rsidR="001639DA" w:rsidRDefault="007D7D8D" w:rsidP="007D7D8D">
      <w:pPr>
        <w:pStyle w:val="Heading1"/>
        <w:numPr>
          <w:ilvl w:val="0"/>
          <w:numId w:val="4"/>
        </w:numPr>
        <w:spacing w:before="160" w:after="60"/>
        <w:jc w:val="both"/>
      </w:pPr>
      <w:r>
        <w:rPr>
          <w:b/>
          <w:bCs/>
          <w:color w:val="1F3864"/>
          <w:sz w:val="24"/>
          <w:szCs w:val="24"/>
        </w:rPr>
        <w:t xml:space="preserve"> Relation to the Course</w:t>
      </w:r>
    </w:p>
    <w:p w14:paraId="57AA658F" w14:textId="6EDB4CAF" w:rsidR="001639DA" w:rsidRDefault="007D7D8D" w:rsidP="007D7D8D">
      <w:pPr>
        <w:spacing w:after="80"/>
        <w:jc w:val="both"/>
      </w:pPr>
      <w:r>
        <w:rPr>
          <w:sz w:val="21"/>
          <w:szCs w:val="21"/>
        </w:rPr>
        <w:t>Th</w:t>
      </w:r>
      <w:r>
        <w:rPr>
          <w:sz w:val="21"/>
          <w:szCs w:val="21"/>
        </w:rPr>
        <w:t xml:space="preserve">is project applies core DSC614 tasks: trend analysis, correlation, cross-country comparison, anomaly detection (the MENA paradox), and part-to-whole decomposition. These map directly to the chosen visualization types: line charts for trends, scatter plots </w:t>
      </w:r>
      <w:r>
        <w:rPr>
          <w:sz w:val="21"/>
          <w:szCs w:val="21"/>
        </w:rPr>
        <w:t>for correlation, stacked area charts for decomposition, small multiples for comparison, and a choropleth map for spatial context. Encoding decisions prioritize position on a common scale for primary quantitative channels, size for GDP per capita, and color</w:t>
      </w:r>
      <w:r>
        <w:rPr>
          <w:sz w:val="21"/>
          <w:szCs w:val="21"/>
        </w:rPr>
        <w:t xml:space="preserve"> hue for country groups, with Lebanon highlighted consistently for preattentive recognition.</w:t>
      </w:r>
    </w:p>
    <w:p w14:paraId="65B2F8CA" w14:textId="77777777" w:rsidR="00DA637E" w:rsidRDefault="00DA637E" w:rsidP="007D7D8D">
      <w:pPr>
        <w:pStyle w:val="Heading1"/>
        <w:spacing w:before="160" w:after="60"/>
        <w:jc w:val="both"/>
        <w:rPr>
          <w:b/>
          <w:bCs/>
          <w:color w:val="1F3864"/>
          <w:sz w:val="24"/>
          <w:szCs w:val="24"/>
        </w:rPr>
      </w:pPr>
    </w:p>
    <w:p w14:paraId="3F06FC29" w14:textId="236639C6" w:rsidR="001639DA" w:rsidRDefault="007D7D8D" w:rsidP="007D7D8D">
      <w:pPr>
        <w:pStyle w:val="Heading1"/>
        <w:numPr>
          <w:ilvl w:val="0"/>
          <w:numId w:val="4"/>
        </w:numPr>
        <w:spacing w:before="160" w:after="60"/>
        <w:jc w:val="both"/>
      </w:pPr>
      <w:r>
        <w:rPr>
          <w:b/>
          <w:bCs/>
          <w:color w:val="1F3864"/>
          <w:sz w:val="24"/>
          <w:szCs w:val="24"/>
        </w:rPr>
        <w:t xml:space="preserve"> Project Plan</w:t>
      </w:r>
    </w:p>
    <w:p w14:paraId="11E67DEF" w14:textId="77777777" w:rsidR="00DA637E" w:rsidRDefault="00DA637E" w:rsidP="007D7D8D">
      <w:pPr>
        <w:spacing w:after="80"/>
        <w:jc w:val="both"/>
        <w:rPr>
          <w:sz w:val="21"/>
          <w:szCs w:val="21"/>
        </w:rPr>
      </w:pPr>
    </w:p>
    <w:p w14:paraId="2B942902" w14:textId="6BE07052" w:rsidR="00DA637E" w:rsidRDefault="007D7D8D" w:rsidP="007D7D8D">
      <w:pPr>
        <w:spacing w:after="80"/>
        <w:jc w:val="both"/>
        <w:rPr>
          <w:sz w:val="21"/>
          <w:szCs w:val="21"/>
        </w:rPr>
      </w:pPr>
      <w:r>
        <w:rPr>
          <w:sz w:val="21"/>
          <w:szCs w:val="21"/>
        </w:rPr>
        <w:t>All data comes from the World Bank Open Data portal (WDI), covering 1990</w:t>
      </w:r>
      <w:r w:rsidR="00A506A5">
        <w:rPr>
          <w:sz w:val="21"/>
          <w:szCs w:val="21"/>
        </w:rPr>
        <w:t>-</w:t>
      </w:r>
      <w:r>
        <w:rPr>
          <w:sz w:val="21"/>
          <w:szCs w:val="21"/>
        </w:rPr>
        <w:t xml:space="preserve">2024. </w:t>
      </w:r>
    </w:p>
    <w:p w14:paraId="0F3E385B" w14:textId="77777777" w:rsidR="00DA637E" w:rsidRDefault="007D7D8D" w:rsidP="007D7D8D">
      <w:pPr>
        <w:spacing w:after="80"/>
        <w:jc w:val="both"/>
        <w:rPr>
          <w:sz w:val="21"/>
          <w:szCs w:val="21"/>
        </w:rPr>
      </w:pPr>
      <w:r>
        <w:rPr>
          <w:sz w:val="21"/>
          <w:szCs w:val="21"/>
        </w:rPr>
        <w:lastRenderedPageBreak/>
        <w:t xml:space="preserve">The six indicators used are: </w:t>
      </w:r>
    </w:p>
    <w:p w14:paraId="05D155A1" w14:textId="77777777" w:rsidR="00DA637E" w:rsidRPr="00DA637E" w:rsidRDefault="007D7D8D" w:rsidP="007D7D8D">
      <w:pPr>
        <w:pStyle w:val="ListParagraph"/>
        <w:numPr>
          <w:ilvl w:val="0"/>
          <w:numId w:val="5"/>
        </w:numPr>
        <w:spacing w:after="80"/>
        <w:jc w:val="both"/>
      </w:pPr>
      <w:r w:rsidRPr="00DA637E">
        <w:rPr>
          <w:sz w:val="21"/>
          <w:szCs w:val="21"/>
        </w:rPr>
        <w:t>Total Fertility Rate (SP.DYN.TFRT.IN)</w:t>
      </w:r>
      <w:r w:rsidRPr="00DA637E">
        <w:rPr>
          <w:sz w:val="21"/>
          <w:szCs w:val="21"/>
        </w:rPr>
        <w:t xml:space="preserve">, </w:t>
      </w:r>
    </w:p>
    <w:p w14:paraId="111D8D7F" w14:textId="77777777" w:rsidR="00DA637E" w:rsidRPr="00DA637E" w:rsidRDefault="007D7D8D" w:rsidP="007D7D8D">
      <w:pPr>
        <w:pStyle w:val="ListParagraph"/>
        <w:numPr>
          <w:ilvl w:val="0"/>
          <w:numId w:val="5"/>
        </w:numPr>
        <w:spacing w:after="80"/>
        <w:jc w:val="both"/>
      </w:pPr>
      <w:r w:rsidRPr="00DA637E">
        <w:rPr>
          <w:sz w:val="21"/>
          <w:szCs w:val="21"/>
        </w:rPr>
        <w:t xml:space="preserve">Female Labor Force Participation Rate (SL.TLF.CACT.FE.ZS), </w:t>
      </w:r>
    </w:p>
    <w:p w14:paraId="762C82F8" w14:textId="24A961E6" w:rsidR="00DA637E" w:rsidRPr="00DA637E" w:rsidRDefault="007D7D8D" w:rsidP="007D7D8D">
      <w:pPr>
        <w:pStyle w:val="ListParagraph"/>
        <w:numPr>
          <w:ilvl w:val="0"/>
          <w:numId w:val="5"/>
        </w:numPr>
        <w:spacing w:after="80"/>
        <w:jc w:val="both"/>
      </w:pPr>
      <w:r w:rsidRPr="00DA637E">
        <w:rPr>
          <w:sz w:val="21"/>
          <w:szCs w:val="21"/>
        </w:rPr>
        <w:t xml:space="preserve">Female Unemployment Rate (SL.UEM.TOTL.FE.ZS), </w:t>
      </w:r>
    </w:p>
    <w:p w14:paraId="2337F47D" w14:textId="77777777" w:rsidR="00DA637E" w:rsidRPr="00DA637E" w:rsidRDefault="007D7D8D" w:rsidP="007D7D8D">
      <w:pPr>
        <w:pStyle w:val="ListParagraph"/>
        <w:numPr>
          <w:ilvl w:val="0"/>
          <w:numId w:val="5"/>
        </w:numPr>
        <w:spacing w:after="80"/>
        <w:jc w:val="both"/>
      </w:pPr>
      <w:r w:rsidRPr="00DA637E">
        <w:rPr>
          <w:sz w:val="21"/>
          <w:szCs w:val="21"/>
        </w:rPr>
        <w:t xml:space="preserve">Girls’ Tertiary Enrollment (SE.TER.ENRR.FE), </w:t>
      </w:r>
    </w:p>
    <w:p w14:paraId="255619BB" w14:textId="77777777" w:rsidR="00DA637E" w:rsidRPr="00DA637E" w:rsidRDefault="007D7D8D" w:rsidP="007D7D8D">
      <w:pPr>
        <w:pStyle w:val="ListParagraph"/>
        <w:numPr>
          <w:ilvl w:val="0"/>
          <w:numId w:val="5"/>
        </w:numPr>
        <w:spacing w:after="80"/>
        <w:jc w:val="both"/>
      </w:pPr>
      <w:r w:rsidRPr="00DA637E">
        <w:rPr>
          <w:sz w:val="21"/>
          <w:szCs w:val="21"/>
        </w:rPr>
        <w:t xml:space="preserve">GDP per Capita (NY.GDP.PCAP.CD), </w:t>
      </w:r>
    </w:p>
    <w:p w14:paraId="0CE7FE42" w14:textId="77777777" w:rsidR="00DA637E" w:rsidRPr="00DA637E" w:rsidRDefault="007D7D8D" w:rsidP="007D7D8D">
      <w:pPr>
        <w:pStyle w:val="ListParagraph"/>
        <w:numPr>
          <w:ilvl w:val="0"/>
          <w:numId w:val="5"/>
        </w:numPr>
        <w:spacing w:after="80"/>
        <w:jc w:val="both"/>
      </w:pPr>
      <w:r w:rsidRPr="00DA637E">
        <w:rPr>
          <w:sz w:val="21"/>
          <w:szCs w:val="21"/>
        </w:rPr>
        <w:t xml:space="preserve">and GDP Growth Rate (NY.GDP.MKTP.KD.ZG, optional). </w:t>
      </w:r>
    </w:p>
    <w:p w14:paraId="6B11A28E" w14:textId="7325D1A1" w:rsidR="001639DA" w:rsidRDefault="007D7D8D" w:rsidP="007D7D8D">
      <w:pPr>
        <w:spacing w:after="80"/>
        <w:jc w:val="both"/>
      </w:pPr>
      <w:r w:rsidRPr="00DA637E">
        <w:rPr>
          <w:sz w:val="21"/>
          <w:szCs w:val="21"/>
        </w:rPr>
        <w:t xml:space="preserve">All datasets </w:t>
      </w:r>
      <w:r w:rsidRPr="00DA637E">
        <w:rPr>
          <w:sz w:val="21"/>
          <w:szCs w:val="21"/>
        </w:rPr>
        <w:t>are annual and will be merged into a single panel. A derived variable, Employed FLFPR, is calculated as FLFPR × (1 − Female Unemployment Rate / 100). GDP per capita will be square-root transformed for bubble size encoding.</w:t>
      </w:r>
    </w:p>
    <w:p w14:paraId="1E9600AC" w14:textId="77777777" w:rsidR="001639DA" w:rsidRDefault="007D7D8D" w:rsidP="007D7D8D">
      <w:pPr>
        <w:spacing w:after="80"/>
        <w:jc w:val="both"/>
      </w:pPr>
      <w:r>
        <w:rPr>
          <w:sz w:val="21"/>
          <w:szCs w:val="21"/>
        </w:rPr>
        <w:t>Preprocessing steps include mergi</w:t>
      </w:r>
      <w:r>
        <w:rPr>
          <w:sz w:val="21"/>
          <w:szCs w:val="21"/>
        </w:rPr>
        <w:t>ng all country-year files, handling missing values through year restriction or interpolation, standardizing country names and variable formats, and reshaping into long format for time-series work and wide format for cross-country snapshots.</w:t>
      </w:r>
    </w:p>
    <w:p w14:paraId="79629FA8" w14:textId="77777777" w:rsidR="00EF08F8" w:rsidRDefault="00EF08F8" w:rsidP="007D7D8D">
      <w:pPr>
        <w:pStyle w:val="Heading2"/>
        <w:spacing w:before="120" w:after="40"/>
        <w:jc w:val="both"/>
        <w:rPr>
          <w:b/>
          <w:bCs/>
          <w:color w:val="2E5496"/>
          <w:sz w:val="22"/>
          <w:szCs w:val="22"/>
        </w:rPr>
      </w:pPr>
    </w:p>
    <w:p w14:paraId="7BA48D4A" w14:textId="37B36CD3" w:rsidR="001639DA" w:rsidRDefault="007D7D8D" w:rsidP="007D7D8D">
      <w:pPr>
        <w:pStyle w:val="Heading2"/>
        <w:spacing w:before="120" w:after="40"/>
        <w:jc w:val="both"/>
      </w:pPr>
      <w:r>
        <w:rPr>
          <w:b/>
          <w:bCs/>
          <w:color w:val="2E5496"/>
          <w:sz w:val="22"/>
          <w:szCs w:val="22"/>
        </w:rPr>
        <w:t>Visualizations</w:t>
      </w:r>
    </w:p>
    <w:p w14:paraId="1F2D529E" w14:textId="77777777" w:rsidR="007D7D8D" w:rsidRDefault="007D7D8D" w:rsidP="007D7D8D">
      <w:pPr>
        <w:spacing w:after="80"/>
        <w:jc w:val="both"/>
        <w:rPr>
          <w:sz w:val="21"/>
          <w:szCs w:val="21"/>
        </w:rPr>
      </w:pPr>
      <w:r>
        <w:rPr>
          <w:sz w:val="21"/>
          <w:szCs w:val="21"/>
        </w:rPr>
        <w:t xml:space="preserve">The dashboard will have four screens. </w:t>
      </w:r>
    </w:p>
    <w:p w14:paraId="15D7A4FF" w14:textId="77777777" w:rsidR="007D7D8D" w:rsidRDefault="007D7D8D" w:rsidP="007D7D8D">
      <w:pPr>
        <w:spacing w:after="80"/>
        <w:jc w:val="both"/>
        <w:rPr>
          <w:sz w:val="21"/>
          <w:szCs w:val="21"/>
        </w:rPr>
      </w:pPr>
      <w:r>
        <w:rPr>
          <w:sz w:val="21"/>
          <w:szCs w:val="21"/>
        </w:rPr>
        <w:t>1-D</w:t>
      </w:r>
      <w:r>
        <w:rPr>
          <w:sz w:val="21"/>
          <w:szCs w:val="21"/>
        </w:rPr>
        <w:t>ual-axis line chart of fertility, FLFPR, and girls’ tertiary enrollment for Lebanon from 1990 to 2024, with event markers for the 2019 collapse and COVID-19.</w:t>
      </w:r>
    </w:p>
    <w:p w14:paraId="3B9A08C0" w14:textId="77777777" w:rsidR="007D7D8D" w:rsidRDefault="007D7D8D" w:rsidP="007D7D8D">
      <w:pPr>
        <w:spacing w:after="80"/>
        <w:jc w:val="both"/>
        <w:rPr>
          <w:sz w:val="21"/>
          <w:szCs w:val="21"/>
        </w:rPr>
      </w:pPr>
      <w:r>
        <w:rPr>
          <w:sz w:val="21"/>
          <w:szCs w:val="21"/>
        </w:rPr>
        <w:t>2- B</w:t>
      </w:r>
      <w:r>
        <w:rPr>
          <w:sz w:val="21"/>
          <w:szCs w:val="21"/>
        </w:rPr>
        <w:t>ubble scatter (TFR v</w:t>
      </w:r>
      <w:r>
        <w:rPr>
          <w:sz w:val="21"/>
          <w:szCs w:val="21"/>
        </w:rPr>
        <w:t xml:space="preserve">s. FLFPR, with GDP per capita as bubble size) with a paradox scatter (tertiary enrollment vs. FLFPR) to visualize the MENA paradox directly. </w:t>
      </w:r>
    </w:p>
    <w:p w14:paraId="1FEEA60E" w14:textId="2102DF63" w:rsidR="007D7D8D" w:rsidRDefault="007D7D8D" w:rsidP="007D7D8D">
      <w:pPr>
        <w:spacing w:after="80"/>
        <w:jc w:val="both"/>
        <w:rPr>
          <w:sz w:val="21"/>
          <w:szCs w:val="21"/>
        </w:rPr>
      </w:pPr>
      <w:r>
        <w:rPr>
          <w:sz w:val="21"/>
          <w:szCs w:val="21"/>
        </w:rPr>
        <w:t>3- St</w:t>
      </w:r>
      <w:r>
        <w:rPr>
          <w:sz w:val="21"/>
          <w:szCs w:val="21"/>
        </w:rPr>
        <w:t xml:space="preserve">acked area chart decomposing Lebanon’s FLFPR into employed and unemployed components over time. </w:t>
      </w:r>
    </w:p>
    <w:p w14:paraId="72CD42AC" w14:textId="43EE3963" w:rsidR="001639DA" w:rsidRDefault="007D7D8D" w:rsidP="007D7D8D">
      <w:pPr>
        <w:spacing w:after="80"/>
        <w:jc w:val="both"/>
      </w:pPr>
      <w:r>
        <w:rPr>
          <w:sz w:val="21"/>
          <w:szCs w:val="21"/>
        </w:rPr>
        <w:t xml:space="preserve">4- </w:t>
      </w:r>
      <w:proofErr w:type="spellStart"/>
      <w:r>
        <w:rPr>
          <w:sz w:val="21"/>
          <w:szCs w:val="21"/>
        </w:rPr>
        <w:t>C</w:t>
      </w:r>
      <w:r>
        <w:rPr>
          <w:sz w:val="21"/>
          <w:szCs w:val="21"/>
        </w:rPr>
        <w:t>horopleth</w:t>
      </w:r>
      <w:proofErr w:type="spellEnd"/>
      <w:r>
        <w:rPr>
          <w:sz w:val="21"/>
          <w:szCs w:val="21"/>
        </w:rPr>
        <w:t xml:space="preserve"> map to compare all countries across indicators, with a year-range slider and country-group toggle for dynamic exploration.</w:t>
      </w:r>
    </w:p>
    <w:p w14:paraId="63204C33" w14:textId="77777777" w:rsidR="00EF08F8" w:rsidRDefault="00EF08F8" w:rsidP="007D7D8D">
      <w:pPr>
        <w:pStyle w:val="Heading2"/>
        <w:spacing w:before="120" w:after="40"/>
        <w:jc w:val="both"/>
        <w:rPr>
          <w:b/>
          <w:bCs/>
          <w:color w:val="2E5496"/>
          <w:sz w:val="22"/>
          <w:szCs w:val="22"/>
        </w:rPr>
      </w:pPr>
    </w:p>
    <w:p w14:paraId="4783A4D0" w14:textId="5793FB66" w:rsidR="001639DA" w:rsidRDefault="007D7D8D" w:rsidP="007D7D8D">
      <w:pPr>
        <w:pStyle w:val="Heading2"/>
        <w:spacing w:before="120" w:after="40"/>
        <w:jc w:val="both"/>
      </w:pPr>
      <w:r>
        <w:rPr>
          <w:b/>
          <w:bCs/>
          <w:color w:val="2E5496"/>
          <w:sz w:val="22"/>
          <w:szCs w:val="22"/>
        </w:rPr>
        <w:t>Deliverables</w:t>
      </w:r>
    </w:p>
    <w:p w14:paraId="2056A1CC" w14:textId="4E9BC2F0" w:rsidR="001639DA" w:rsidRDefault="007D7D8D" w:rsidP="007D7D8D">
      <w:pPr>
        <w:spacing w:after="80"/>
        <w:jc w:val="both"/>
      </w:pPr>
      <w:r>
        <w:rPr>
          <w:sz w:val="21"/>
          <w:szCs w:val="21"/>
        </w:rPr>
        <w:t>The project will produce an interactive four-screen Tableau dashbo</w:t>
      </w:r>
      <w:r>
        <w:rPr>
          <w:sz w:val="21"/>
          <w:szCs w:val="21"/>
        </w:rPr>
        <w:t>ard, annotated visualizations with event markers and country labels, an academic report (10</w:t>
      </w:r>
      <w:r w:rsidR="00072CF7">
        <w:rPr>
          <w:sz w:val="21"/>
          <w:szCs w:val="21"/>
        </w:rPr>
        <w:t>-</w:t>
      </w:r>
      <w:r>
        <w:rPr>
          <w:sz w:val="21"/>
          <w:szCs w:val="21"/>
        </w:rPr>
        <w:t>15 pages), a Python preprocessing script, a dataset reference sheet with World Bank codes, and presentation slides for the oral defense.</w:t>
      </w:r>
    </w:p>
    <w:p w14:paraId="6AB7B169" w14:textId="77777777" w:rsidR="00EF08F8" w:rsidRDefault="00EF08F8" w:rsidP="007D7D8D">
      <w:pPr>
        <w:pStyle w:val="Heading1"/>
        <w:spacing w:before="160" w:after="60"/>
        <w:ind w:left="720"/>
        <w:jc w:val="both"/>
        <w:rPr>
          <w:b/>
          <w:bCs/>
          <w:color w:val="1F3864"/>
          <w:sz w:val="24"/>
          <w:szCs w:val="24"/>
        </w:rPr>
      </w:pPr>
    </w:p>
    <w:p w14:paraId="3689C79B" w14:textId="3A2CFB76" w:rsidR="001639DA" w:rsidRPr="00EF08F8" w:rsidRDefault="007D7D8D" w:rsidP="007D7D8D">
      <w:pPr>
        <w:pStyle w:val="Heading1"/>
        <w:numPr>
          <w:ilvl w:val="0"/>
          <w:numId w:val="4"/>
        </w:numPr>
        <w:spacing w:before="160" w:after="60"/>
        <w:jc w:val="both"/>
        <w:rPr>
          <w:b/>
          <w:bCs/>
          <w:color w:val="1F3864"/>
          <w:sz w:val="24"/>
          <w:szCs w:val="24"/>
        </w:rPr>
      </w:pPr>
      <w:r>
        <w:rPr>
          <w:b/>
          <w:bCs/>
          <w:color w:val="1F3864"/>
          <w:sz w:val="24"/>
          <w:szCs w:val="24"/>
        </w:rPr>
        <w:t>Sources and Tools</w:t>
      </w:r>
    </w:p>
    <w:p w14:paraId="6F7AF798" w14:textId="77777777" w:rsidR="00EF08F8" w:rsidRDefault="007D7D8D" w:rsidP="007D7D8D">
      <w:pPr>
        <w:spacing w:after="80"/>
        <w:jc w:val="both"/>
        <w:rPr>
          <w:sz w:val="21"/>
          <w:szCs w:val="21"/>
        </w:rPr>
      </w:pPr>
      <w:r>
        <w:rPr>
          <w:sz w:val="21"/>
          <w:szCs w:val="21"/>
        </w:rPr>
        <w:t xml:space="preserve">Data: World Bank Open Data (data.worldbank.org). </w:t>
      </w:r>
    </w:p>
    <w:p w14:paraId="5EBB5D7F" w14:textId="10D25105" w:rsidR="001639DA" w:rsidRDefault="007D7D8D" w:rsidP="007D7D8D">
      <w:pPr>
        <w:spacing w:after="80"/>
        <w:jc w:val="both"/>
      </w:pPr>
      <w:r>
        <w:rPr>
          <w:sz w:val="21"/>
          <w:szCs w:val="21"/>
        </w:rPr>
        <w:t>Visualization: Tableau. Preprocessing: Python (Pandas, NumPy).</w:t>
      </w:r>
    </w:p>
    <w:p w14:paraId="4A202228" w14:textId="77777777" w:rsidR="00DA637E" w:rsidRDefault="00DA637E" w:rsidP="007D7D8D">
      <w:pPr>
        <w:pStyle w:val="Heading2"/>
        <w:spacing w:before="120" w:after="40"/>
        <w:jc w:val="both"/>
        <w:rPr>
          <w:b/>
          <w:bCs/>
          <w:color w:val="2E5496"/>
          <w:sz w:val="22"/>
          <w:szCs w:val="22"/>
        </w:rPr>
      </w:pPr>
    </w:p>
    <w:p w14:paraId="54FEC952" w14:textId="2529A809" w:rsidR="001639DA" w:rsidRDefault="007D7D8D" w:rsidP="007D7D8D">
      <w:pPr>
        <w:pStyle w:val="Heading2"/>
        <w:spacing w:before="120" w:after="40"/>
        <w:jc w:val="both"/>
      </w:pPr>
      <w:r>
        <w:rPr>
          <w:b/>
          <w:bCs/>
          <w:color w:val="2E5496"/>
          <w:sz w:val="22"/>
          <w:szCs w:val="22"/>
        </w:rPr>
        <w:t>References</w:t>
      </w:r>
    </w:p>
    <w:p w14:paraId="4D7E361D" w14:textId="77777777" w:rsidR="001639DA" w:rsidRDefault="007D7D8D" w:rsidP="007D7D8D">
      <w:pPr>
        <w:spacing w:after="60"/>
        <w:ind w:left="720" w:hanging="360"/>
        <w:jc w:val="both"/>
      </w:pPr>
      <w:r>
        <w:rPr>
          <w:sz w:val="20"/>
          <w:szCs w:val="20"/>
        </w:rPr>
        <w:t xml:space="preserve">Zhang, H., &amp; Assaad, R. (2024). Women’s access to school, educational attainment, and fertility: Evidence from Jordan. </w:t>
      </w:r>
      <w:r>
        <w:rPr>
          <w:i/>
          <w:iCs/>
          <w:sz w:val="20"/>
          <w:szCs w:val="20"/>
        </w:rPr>
        <w:t>Journal of D</w:t>
      </w:r>
      <w:r>
        <w:rPr>
          <w:i/>
          <w:iCs/>
          <w:sz w:val="20"/>
          <w:szCs w:val="20"/>
        </w:rPr>
        <w:t xml:space="preserve">evelopment Economics, 170, </w:t>
      </w:r>
      <w:r>
        <w:rPr>
          <w:sz w:val="20"/>
          <w:szCs w:val="20"/>
        </w:rPr>
        <w:t xml:space="preserve">103291. </w:t>
      </w:r>
      <w:hyperlink r:id="rId5" w:history="1">
        <w:r>
          <w:rPr>
            <w:color w:val="1155CC"/>
            <w:sz w:val="20"/>
            <w:szCs w:val="20"/>
          </w:rPr>
          <w:t>https://doi.org/10.1016/j.jdeveco.2024.103291</w:t>
        </w:r>
      </w:hyperlink>
    </w:p>
    <w:p w14:paraId="7DEEE2E1" w14:textId="227B056D" w:rsidR="001639DA" w:rsidRDefault="007D7D8D" w:rsidP="007D7D8D">
      <w:pPr>
        <w:spacing w:after="60"/>
        <w:ind w:left="720" w:hanging="360"/>
        <w:jc w:val="both"/>
      </w:pPr>
      <w:r>
        <w:rPr>
          <w:sz w:val="20"/>
          <w:szCs w:val="20"/>
        </w:rPr>
        <w:t>Assaad, R., Hendy, R., Lassassi, M., &amp; Yassin, S. (2020). Explaining the MENA paradox: Rising educational attainm</w:t>
      </w:r>
      <w:r>
        <w:rPr>
          <w:sz w:val="20"/>
          <w:szCs w:val="20"/>
        </w:rPr>
        <w:t xml:space="preserve">ent yet stagnant female labor force participation. </w:t>
      </w:r>
      <w:r>
        <w:rPr>
          <w:i/>
          <w:iCs/>
          <w:sz w:val="20"/>
          <w:szCs w:val="20"/>
        </w:rPr>
        <w:t xml:space="preserve">Demographic Research, 43, </w:t>
      </w:r>
      <w:r>
        <w:rPr>
          <w:sz w:val="20"/>
          <w:szCs w:val="20"/>
        </w:rPr>
        <w:t>817</w:t>
      </w:r>
      <w:r w:rsidR="008C794A">
        <w:rPr>
          <w:sz w:val="20"/>
          <w:szCs w:val="20"/>
        </w:rPr>
        <w:t>-</w:t>
      </w:r>
      <w:r>
        <w:rPr>
          <w:sz w:val="20"/>
          <w:szCs w:val="20"/>
        </w:rPr>
        <w:t xml:space="preserve">850. </w:t>
      </w:r>
      <w:hyperlink r:id="rId6" w:history="1">
        <w:r>
          <w:rPr>
            <w:color w:val="1155CC"/>
            <w:sz w:val="20"/>
            <w:szCs w:val="20"/>
          </w:rPr>
          <w:t>https://doi.org/10.4054/DEMRES.2020.43.28</w:t>
        </w:r>
      </w:hyperlink>
    </w:p>
    <w:p w14:paraId="5082C49A" w14:textId="65FD2845" w:rsidR="001639DA" w:rsidRDefault="007D7D8D" w:rsidP="007D7D8D">
      <w:pPr>
        <w:spacing w:after="60"/>
        <w:ind w:left="720" w:hanging="360"/>
        <w:jc w:val="both"/>
      </w:pPr>
      <w:r>
        <w:rPr>
          <w:sz w:val="20"/>
          <w:szCs w:val="20"/>
        </w:rPr>
        <w:t xml:space="preserve">Majbouri, M. (2020). Fertility and the puzzle of female employment in </w:t>
      </w:r>
      <w:r>
        <w:rPr>
          <w:sz w:val="20"/>
          <w:szCs w:val="20"/>
        </w:rPr>
        <w:t xml:space="preserve">the Middle East and North Africa. </w:t>
      </w:r>
      <w:r>
        <w:rPr>
          <w:i/>
          <w:iCs/>
          <w:sz w:val="20"/>
          <w:szCs w:val="20"/>
        </w:rPr>
        <w:t xml:space="preserve">Economics of Transition and Institutional Change, 28(4), </w:t>
      </w:r>
      <w:r>
        <w:rPr>
          <w:sz w:val="20"/>
          <w:szCs w:val="20"/>
        </w:rPr>
        <w:t>931</w:t>
      </w:r>
      <w:r w:rsidR="008C794A">
        <w:rPr>
          <w:sz w:val="20"/>
          <w:szCs w:val="20"/>
        </w:rPr>
        <w:t>-</w:t>
      </w:r>
      <w:r>
        <w:rPr>
          <w:sz w:val="20"/>
          <w:szCs w:val="20"/>
        </w:rPr>
        <w:t xml:space="preserve">958. </w:t>
      </w:r>
      <w:hyperlink r:id="rId7" w:history="1">
        <w:r>
          <w:rPr>
            <w:color w:val="1155CC"/>
            <w:sz w:val="20"/>
            <w:szCs w:val="20"/>
          </w:rPr>
          <w:t>https://doi.org/10.1111/ecot.12243</w:t>
        </w:r>
      </w:hyperlink>
    </w:p>
    <w:p w14:paraId="43BD3351" w14:textId="77777777" w:rsidR="001639DA" w:rsidRDefault="007D7D8D" w:rsidP="007D7D8D">
      <w:pPr>
        <w:spacing w:after="60"/>
        <w:ind w:left="720" w:hanging="360"/>
        <w:jc w:val="both"/>
      </w:pPr>
      <w:r>
        <w:rPr>
          <w:sz w:val="20"/>
          <w:szCs w:val="20"/>
        </w:rPr>
        <w:t>Munzner, T. (2014). Visualization Analysis and Design. CRC Press.</w:t>
      </w:r>
    </w:p>
    <w:p w14:paraId="4C668F6E" w14:textId="36BD85CE" w:rsidR="001639DA" w:rsidRDefault="007D7D8D" w:rsidP="007D7D8D">
      <w:pPr>
        <w:spacing w:after="60"/>
        <w:ind w:left="720" w:hanging="360"/>
        <w:jc w:val="both"/>
      </w:pPr>
      <w:r>
        <w:rPr>
          <w:sz w:val="20"/>
          <w:szCs w:val="20"/>
        </w:rPr>
        <w:t>Munzner, T. (2009). A nested model for visualization design and validation. IEEE Transactions on Visualization and Computer Graphics, 15(6), 921</w:t>
      </w:r>
      <w:r w:rsidR="008C794A">
        <w:rPr>
          <w:sz w:val="20"/>
          <w:szCs w:val="20"/>
        </w:rPr>
        <w:t>-</w:t>
      </w:r>
      <w:r>
        <w:rPr>
          <w:sz w:val="20"/>
          <w:szCs w:val="20"/>
        </w:rPr>
        <w:t>928.</w:t>
      </w:r>
    </w:p>
    <w:p w14:paraId="33B03BF9" w14:textId="515C0249" w:rsidR="001639DA" w:rsidRDefault="007D7D8D" w:rsidP="007D7D8D">
      <w:pPr>
        <w:spacing w:after="60"/>
        <w:ind w:left="720" w:hanging="360"/>
        <w:jc w:val="both"/>
      </w:pPr>
      <w:r>
        <w:rPr>
          <w:sz w:val="20"/>
          <w:szCs w:val="20"/>
        </w:rPr>
        <w:t xml:space="preserve">World Bank Open Data. World Development Indicators. </w:t>
      </w:r>
      <w:hyperlink r:id="rId8" w:history="1">
        <w:r>
          <w:rPr>
            <w:color w:val="1155CC"/>
            <w:sz w:val="20"/>
            <w:szCs w:val="20"/>
          </w:rPr>
          <w:t>https://dat</w:t>
        </w:r>
        <w:r>
          <w:rPr>
            <w:color w:val="1155CC"/>
            <w:sz w:val="20"/>
            <w:szCs w:val="20"/>
          </w:rPr>
          <w:t>a.worldbank.org</w:t>
        </w:r>
      </w:hyperlink>
    </w:p>
    <w:sectPr w:rsidR="001639D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6F50B7"/>
    <w:multiLevelType w:val="hybridMultilevel"/>
    <w:tmpl w:val="80BC46C4"/>
    <w:lvl w:ilvl="0" w:tplc="4A4467DA">
      <w:start w:val="1"/>
      <w:numFmt w:val="bullet"/>
      <w:lvlText w:val="●"/>
      <w:lvlJc w:val="left"/>
      <w:pPr>
        <w:ind w:left="720" w:hanging="360"/>
      </w:pPr>
    </w:lvl>
    <w:lvl w:ilvl="1" w:tplc="78548C46">
      <w:start w:val="1"/>
      <w:numFmt w:val="bullet"/>
      <w:lvlText w:val="○"/>
      <w:lvlJc w:val="left"/>
      <w:pPr>
        <w:ind w:left="1440" w:hanging="360"/>
      </w:pPr>
    </w:lvl>
    <w:lvl w:ilvl="2" w:tplc="C054E1FC">
      <w:start w:val="1"/>
      <w:numFmt w:val="bullet"/>
      <w:lvlText w:val="■"/>
      <w:lvlJc w:val="left"/>
      <w:pPr>
        <w:ind w:left="2160" w:hanging="360"/>
      </w:pPr>
    </w:lvl>
    <w:lvl w:ilvl="3" w:tplc="29C6F2EC">
      <w:start w:val="1"/>
      <w:numFmt w:val="bullet"/>
      <w:lvlText w:val="●"/>
      <w:lvlJc w:val="left"/>
      <w:pPr>
        <w:ind w:left="2880" w:hanging="360"/>
      </w:pPr>
    </w:lvl>
    <w:lvl w:ilvl="4" w:tplc="EFA2CF62">
      <w:start w:val="1"/>
      <w:numFmt w:val="bullet"/>
      <w:lvlText w:val="○"/>
      <w:lvlJc w:val="left"/>
      <w:pPr>
        <w:ind w:left="3600" w:hanging="360"/>
      </w:pPr>
    </w:lvl>
    <w:lvl w:ilvl="5" w:tplc="A0C05C86">
      <w:start w:val="1"/>
      <w:numFmt w:val="bullet"/>
      <w:lvlText w:val="■"/>
      <w:lvlJc w:val="left"/>
      <w:pPr>
        <w:ind w:left="4320" w:hanging="360"/>
      </w:pPr>
    </w:lvl>
    <w:lvl w:ilvl="6" w:tplc="10F62A0A">
      <w:start w:val="1"/>
      <w:numFmt w:val="bullet"/>
      <w:lvlText w:val="●"/>
      <w:lvlJc w:val="left"/>
      <w:pPr>
        <w:ind w:left="5040" w:hanging="360"/>
      </w:pPr>
    </w:lvl>
    <w:lvl w:ilvl="7" w:tplc="4CFE1490">
      <w:start w:val="1"/>
      <w:numFmt w:val="bullet"/>
      <w:lvlText w:val="●"/>
      <w:lvlJc w:val="left"/>
      <w:pPr>
        <w:ind w:left="5760" w:hanging="360"/>
      </w:pPr>
    </w:lvl>
    <w:lvl w:ilvl="8" w:tplc="43E07DB2">
      <w:start w:val="1"/>
      <w:numFmt w:val="bullet"/>
      <w:lvlText w:val="●"/>
      <w:lvlJc w:val="left"/>
      <w:pPr>
        <w:ind w:left="6480" w:hanging="360"/>
      </w:pPr>
    </w:lvl>
  </w:abstractNum>
  <w:abstractNum w:abstractNumId="1">
    <w:nsid w:val="3DAE71FC"/>
    <w:multiLevelType w:val="hybridMultilevel"/>
    <w:tmpl w:val="43B84744"/>
    <w:lvl w:ilvl="0" w:tplc="78F82480">
      <w:start w:val="1"/>
      <w:numFmt w:val="bullet"/>
      <w:lvlText w:val="•"/>
      <w:lvlJc w:val="left"/>
      <w:pPr>
        <w:ind w:left="720" w:hanging="360"/>
      </w:pPr>
    </w:lvl>
    <w:lvl w:ilvl="1" w:tplc="AA7289F4">
      <w:numFmt w:val="decimal"/>
      <w:lvlText w:val=""/>
      <w:lvlJc w:val="left"/>
    </w:lvl>
    <w:lvl w:ilvl="2" w:tplc="CC0EDF3A">
      <w:numFmt w:val="decimal"/>
      <w:lvlText w:val=""/>
      <w:lvlJc w:val="left"/>
    </w:lvl>
    <w:lvl w:ilvl="3" w:tplc="48D6BE76">
      <w:numFmt w:val="decimal"/>
      <w:lvlText w:val=""/>
      <w:lvlJc w:val="left"/>
    </w:lvl>
    <w:lvl w:ilvl="4" w:tplc="514EA958">
      <w:numFmt w:val="decimal"/>
      <w:lvlText w:val=""/>
      <w:lvlJc w:val="left"/>
    </w:lvl>
    <w:lvl w:ilvl="5" w:tplc="173A4A3E">
      <w:numFmt w:val="decimal"/>
      <w:lvlText w:val=""/>
      <w:lvlJc w:val="left"/>
    </w:lvl>
    <w:lvl w:ilvl="6" w:tplc="79F07960">
      <w:numFmt w:val="decimal"/>
      <w:lvlText w:val=""/>
      <w:lvlJc w:val="left"/>
    </w:lvl>
    <w:lvl w:ilvl="7" w:tplc="D3B09354">
      <w:numFmt w:val="decimal"/>
      <w:lvlText w:val=""/>
      <w:lvlJc w:val="left"/>
    </w:lvl>
    <w:lvl w:ilvl="8" w:tplc="7F9AA948">
      <w:numFmt w:val="decimal"/>
      <w:lvlText w:val=""/>
      <w:lvlJc w:val="left"/>
    </w:lvl>
  </w:abstractNum>
  <w:abstractNum w:abstractNumId="2">
    <w:nsid w:val="3EF04CB7"/>
    <w:multiLevelType w:val="hybridMultilevel"/>
    <w:tmpl w:val="78523CFE"/>
    <w:lvl w:ilvl="0" w:tplc="5F4C6044">
      <w:start w:val="1"/>
      <w:numFmt w:val="decimal"/>
      <w:lvlText w:val="%1."/>
      <w:lvlJc w:val="left"/>
      <w:pPr>
        <w:ind w:left="720" w:hanging="360"/>
      </w:pPr>
    </w:lvl>
    <w:lvl w:ilvl="1" w:tplc="ABEE5848">
      <w:numFmt w:val="decimal"/>
      <w:lvlText w:val=""/>
      <w:lvlJc w:val="left"/>
    </w:lvl>
    <w:lvl w:ilvl="2" w:tplc="1B724DCC">
      <w:numFmt w:val="decimal"/>
      <w:lvlText w:val=""/>
      <w:lvlJc w:val="left"/>
    </w:lvl>
    <w:lvl w:ilvl="3" w:tplc="E3D4DD94">
      <w:numFmt w:val="decimal"/>
      <w:lvlText w:val=""/>
      <w:lvlJc w:val="left"/>
    </w:lvl>
    <w:lvl w:ilvl="4" w:tplc="F49A6F38">
      <w:numFmt w:val="decimal"/>
      <w:lvlText w:val=""/>
      <w:lvlJc w:val="left"/>
    </w:lvl>
    <w:lvl w:ilvl="5" w:tplc="30101FB4">
      <w:numFmt w:val="decimal"/>
      <w:lvlText w:val=""/>
      <w:lvlJc w:val="left"/>
    </w:lvl>
    <w:lvl w:ilvl="6" w:tplc="B420B770">
      <w:numFmt w:val="decimal"/>
      <w:lvlText w:val=""/>
      <w:lvlJc w:val="left"/>
    </w:lvl>
    <w:lvl w:ilvl="7" w:tplc="FB4886B2">
      <w:numFmt w:val="decimal"/>
      <w:lvlText w:val=""/>
      <w:lvlJc w:val="left"/>
    </w:lvl>
    <w:lvl w:ilvl="8" w:tplc="DF4846EC">
      <w:numFmt w:val="decimal"/>
      <w:lvlText w:val=""/>
      <w:lvlJc w:val="left"/>
    </w:lvl>
  </w:abstractNum>
  <w:abstractNum w:abstractNumId="3">
    <w:nsid w:val="3F5D1D1F"/>
    <w:multiLevelType w:val="hybridMultilevel"/>
    <w:tmpl w:val="B88EC316"/>
    <w:lvl w:ilvl="0" w:tplc="C7E8C2A0">
      <w:start w:val="1"/>
      <w:numFmt w:val="bullet"/>
      <w:lvlText w:val="◦"/>
      <w:lvlJc w:val="left"/>
      <w:pPr>
        <w:ind w:left="1080" w:hanging="360"/>
      </w:pPr>
    </w:lvl>
    <w:lvl w:ilvl="1" w:tplc="F912E670">
      <w:numFmt w:val="decimal"/>
      <w:lvlText w:val=""/>
      <w:lvlJc w:val="left"/>
    </w:lvl>
    <w:lvl w:ilvl="2" w:tplc="EFCE4E26">
      <w:numFmt w:val="decimal"/>
      <w:lvlText w:val=""/>
      <w:lvlJc w:val="left"/>
    </w:lvl>
    <w:lvl w:ilvl="3" w:tplc="A192DB0C">
      <w:numFmt w:val="decimal"/>
      <w:lvlText w:val=""/>
      <w:lvlJc w:val="left"/>
    </w:lvl>
    <w:lvl w:ilvl="4" w:tplc="175EC17C">
      <w:numFmt w:val="decimal"/>
      <w:lvlText w:val=""/>
      <w:lvlJc w:val="left"/>
    </w:lvl>
    <w:lvl w:ilvl="5" w:tplc="5866AC80">
      <w:numFmt w:val="decimal"/>
      <w:lvlText w:val=""/>
      <w:lvlJc w:val="left"/>
    </w:lvl>
    <w:lvl w:ilvl="6" w:tplc="4ED84D4A">
      <w:numFmt w:val="decimal"/>
      <w:lvlText w:val=""/>
      <w:lvlJc w:val="left"/>
    </w:lvl>
    <w:lvl w:ilvl="7" w:tplc="7F4E3B0A">
      <w:numFmt w:val="decimal"/>
      <w:lvlText w:val=""/>
      <w:lvlJc w:val="left"/>
    </w:lvl>
    <w:lvl w:ilvl="8" w:tplc="4AA89E8A">
      <w:numFmt w:val="decimal"/>
      <w:lvlText w:val=""/>
      <w:lvlJc w:val="left"/>
    </w:lvl>
  </w:abstractNum>
  <w:abstractNum w:abstractNumId="4">
    <w:nsid w:val="54EA4E4A"/>
    <w:multiLevelType w:val="hybridMultilevel"/>
    <w:tmpl w:val="48600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89924C8"/>
    <w:multiLevelType w:val="hybridMultilevel"/>
    <w:tmpl w:val="C7989C6C"/>
    <w:lvl w:ilvl="0" w:tplc="9FE48F8E">
      <w:start w:val="1"/>
      <w:numFmt w:val="decimal"/>
      <w:lvlText w:val="%1."/>
      <w:lvlJc w:val="left"/>
      <w:pPr>
        <w:ind w:left="720" w:hanging="360"/>
      </w:pPr>
      <w:rPr>
        <w:rFonts w:hint="default"/>
        <w:b/>
        <w:color w:val="1F3864"/>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6FEA235E"/>
    <w:multiLevelType w:val="hybridMultilevel"/>
    <w:tmpl w:val="78249CA0"/>
    <w:lvl w:ilvl="0" w:tplc="BC3853E2">
      <w:start w:val="1"/>
      <w:numFmt w:val="decimal"/>
      <w:lvlText w:val="%1-"/>
      <w:lvlJc w:val="left"/>
      <w:pPr>
        <w:ind w:left="720" w:hanging="360"/>
      </w:pPr>
      <w:rPr>
        <w:rFonts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0E67C82"/>
    <w:multiLevelType w:val="hybridMultilevel"/>
    <w:tmpl w:val="9A8091CA"/>
    <w:lvl w:ilvl="0" w:tplc="EB3E4AC4">
      <w:start w:val="3"/>
      <w:numFmt w:val="bullet"/>
      <w:lvlText w:val="-"/>
      <w:lvlJc w:val="left"/>
      <w:pPr>
        <w:ind w:left="720" w:hanging="360"/>
      </w:pPr>
      <w:rPr>
        <w:rFonts w:ascii="Arial" w:eastAsia="Arial" w:hAnsi="Arial" w:cs="Arial" w:hint="default"/>
        <w:sz w:val="2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5"/>
  </w:num>
  <w:num w:numId="5">
    <w:abstractNumId w:val="7"/>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9DA"/>
    <w:rsid w:val="00072CF7"/>
    <w:rsid w:val="000C2B8D"/>
    <w:rsid w:val="001639DA"/>
    <w:rsid w:val="001D3868"/>
    <w:rsid w:val="002B4C03"/>
    <w:rsid w:val="002D7C84"/>
    <w:rsid w:val="006B4178"/>
    <w:rsid w:val="007D7D8D"/>
    <w:rsid w:val="008C794A"/>
    <w:rsid w:val="00A506A5"/>
    <w:rsid w:val="00DA637E"/>
    <w:rsid w:val="00EF08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509E6"/>
  <w15:docId w15:val="{394AAF4A-62CF-5241-B832-518F2B845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data.worldbank.org" TargetMode="External"/><Relationship Id="rId3" Type="http://schemas.openxmlformats.org/officeDocument/2006/relationships/settings" Target="settings.xml"/><Relationship Id="rId7" Type="http://schemas.openxmlformats.org/officeDocument/2006/relationships/hyperlink" Target="https://doi.org/10.1111/ecot.1224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4054/DEMRES.2020.43.28" TargetMode="External"/><Relationship Id="rId5" Type="http://schemas.openxmlformats.org/officeDocument/2006/relationships/hyperlink" Target="https://doi.org/10.1016/j.jdeveco.2024.10329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941</Words>
  <Characters>5365</Characters>
  <Application>Microsoft Office Word</Application>
  <DocSecurity>0</DocSecurity>
  <Lines>44</Lines>
  <Paragraphs>12</Paragraphs>
  <ScaleCrop>false</ScaleCrop>
  <Company/>
  <LinksUpToDate>false</LinksUpToDate>
  <CharactersWithSpaces>6294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11</cp:revision>
  <dcterms:created xsi:type="dcterms:W3CDTF">2026-03-19T13:14:00Z</dcterms:created>
  <dcterms:modified xsi:type="dcterms:W3CDTF">2026-03-19T18:26:00Z</dcterms:modified>
</cp:coreProperties>
</file>