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6.pdf" ContentType="application/pdf"/>
  <Override PartName="/word/media/rId56.pdf" ContentType="application/pdf"/>
  <Override PartName="/word/media/rId222.pdf" ContentType="application/pdf"/>
  <Override PartName="/word/media/rId242.pdf" ContentType="application/pdf"/>
  <Override PartName="/word/media/rId251.pdf" ContentType="application/pdf"/>
  <Override PartName="/word/media/rId259.pdf" ContentType="application/pdf"/>
  <Override PartName="/word/media/rId255.pdf" ContentType="application/pdf"/>
  <Override PartName="/word/media/rId263.pdf" ContentType="application/pdf"/>
  <Override PartName="/word/media/rId83.pdf" ContentType="application/pdf"/>
  <Override PartName="/word/media/rId246.pdf" ContentType="application/pdf"/>
  <Override PartName="/word/media/rId77.pdf" ContentType="application/pdf"/>
  <Override PartName="/word/media/rId231.pdf" ContentType="application/pdf"/>
  <Override PartName="/word/media/rId195.pdf" ContentType="application/pdf"/>
  <Override PartName="/word/media/rId205.pdf" ContentType="application/pdf"/>
  <Override PartName="/word/media/rId269.pdf" ContentType="application/pdf"/>
  <Override PartName="/word/media/rId273.pdf" ContentType="application/pdf"/>
  <Override PartName="/word/media/rId277.pdf" ContentType="application/pdf"/>
  <Override PartName="/word/media/rId72.pdf" ContentType="application/pdf"/>
  <Override PartName="/word/media/rId68.pdf" ContentType="application/pdf"/>
  <Override PartName="/word/media/rId216.pdf" ContentType="application/pdf"/>
  <Override PartName="/word/media/rId11.pdf" ContentType="application/pdf"/>
  <Override PartName="/word/media/rId21.pdf" ContentType="application/pdf"/>
  <Override PartName="/word/media/rId63.pdf" ContentType="application/pdf"/>
  <Override PartName="/word/media/rId94.pdf" ContentType="application/pdf"/>
  <Override PartName="/word/media/rId100.pdf" ContentType="application/pdf"/>
  <Override PartName="/word/media/rId104.pdf" ContentType="application/pdf"/>
  <Override PartName="/word/media/rId108.pdf" ContentType="application/pdf"/>
  <Override PartName="/word/media/rId112.pdf" ContentType="application/pdf"/>
  <Override PartName="/word/media/rId118.pdf" ContentType="application/pdf"/>
  <Override PartName="/word/media/rId88.pdf" ContentType="application/pdf"/>
  <Override PartName="/word/media/rId48.pdf" ContentType="application/pdf"/>
  <Override PartName="/word/media/rId1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Decomposition of Concentration-Index Trees</w:t>
      </w:r>
    </w:p>
    <w:p>
      <w:pPr>
        <w:pStyle w:val="Author"/>
      </w:pPr>
      <w:r>
        <w:t xml:space="preserve">Moses Mburu</w:t>
      </w:r>
    </w:p>
    <w:bookmarkStart w:id="9" w:name="sec-introduction"/>
    <w:p>
      <w:pPr>
        <w:pStyle w:val="Heading1"/>
      </w:pPr>
      <w:r>
        <w:t xml:space="preserve">Introduction</w:t>
      </w:r>
    </w:p>
    <w:p>
      <w:pPr>
        <w:pStyle w:val="FirstParagraph"/>
      </w:pPr>
      <w:r>
        <w:t xml:space="preserve">Child survival has improved since 1990, but the gains have not closed the gap between countries or between groups of children. Globally, under-five mortality fell from 93 deaths per 1,000 live births in 1990 to 37.7 in 2019, and the number of under-five deaths fell from 12.5 million to 5.2 million</w:t>
      </w:r>
      <w:r>
        <w:t xml:space="preserve"> </w:t>
      </w:r>
      <w:r>
        <w:t xml:space="preserve">(</w:t>
      </w:r>
      <w:hyperlink w:anchor="ref-sharrow2022_under5_mortality">
        <w:r>
          <w:rPr>
            <w:rStyle w:val="Hyperlink"/>
          </w:rPr>
          <w:t xml:space="preserve">Sharrow</w:t>
        </w:r>
        <w:r>
          <w:rPr>
            <w:rStyle w:val="Hyperlink"/>
          </w:rPr>
          <w:t xml:space="preserve"> </w:t>
        </w:r>
        <w:r>
          <w:rPr>
            <w:rStyle w:val="Hyperlink"/>
            <w:i/>
            <w:iCs/>
          </w:rPr>
          <w:t xml:space="preserve">et al.</w:t>
        </w:r>
        <w:r>
          <w:rPr>
            <w:rStyle w:val="Hyperlink"/>
          </w:rPr>
          <w:t xml:space="preserve">, 2022</w:t>
        </w:r>
      </w:hyperlink>
      <w:r>
        <w:t xml:space="preserve">)</w:t>
      </w:r>
      <w:r>
        <w:t xml:space="preserve">. Reduction in under-5 mortality are linked to improved child health services, greater access to care, and lower levels of extreme poverty</w:t>
      </w:r>
      <w:r>
        <w:t xml:space="preserve"> </w:t>
      </w:r>
      <w:r>
        <w:t xml:space="preserve">(</w:t>
      </w:r>
      <w:hyperlink w:anchor="ref-jones2003_child_survival">
        <w:r>
          <w:rPr>
            <w:rStyle w:val="Hyperlink"/>
          </w:rPr>
          <w:t xml:space="preserve">Jones</w:t>
        </w:r>
        <w:r>
          <w:rPr>
            <w:rStyle w:val="Hyperlink"/>
          </w:rPr>
          <w:t xml:space="preserve"> </w:t>
        </w:r>
        <w:r>
          <w:rPr>
            <w:rStyle w:val="Hyperlink"/>
            <w:i/>
            <w:iCs/>
          </w:rPr>
          <w:t xml:space="preserve">et al.</w:t>
        </w:r>
        <w:r>
          <w:rPr>
            <w:rStyle w:val="Hyperlink"/>
          </w:rPr>
          <w:t xml:space="preserve">, 2003</w:t>
        </w:r>
      </w:hyperlink>
      <w:r>
        <w:t xml:space="preserve">)</w:t>
      </w:r>
      <w:r>
        <w:t xml:space="preserve">. The burden, however, is still concentrated in poorer settings. The latest</w:t>
      </w:r>
      <w:r>
        <w:t xml:space="preserve"> </w:t>
      </w:r>
      <w:r>
        <w:t xml:space="preserve">(</w:t>
      </w:r>
      <w:hyperlink w:anchor="ref-who_gho_under5_mortality_indicator">
        <w:r>
          <w:rPr>
            <w:rStyle w:val="Hyperlink"/>
          </w:rPr>
          <w:t xml:space="preserve">World Health Organisation, 2026</w:t>
        </w:r>
      </w:hyperlink>
      <w:r>
        <w:t xml:space="preserve">)</w:t>
      </w:r>
      <w:r>
        <w:t xml:space="preserve"> </w:t>
      </w:r>
      <w:r>
        <w:t xml:space="preserve">estimates show that sub-Saharan Africa had the highest regional under-five mortality rate, 67 per 1000 live births, and almost half of all under-five deaths occurred in five countries, including the Democratic Republic of the Congo</w:t>
      </w:r>
      <w:r>
        <w:t xml:space="preserve"> </w:t>
      </w:r>
      <w:r>
        <w:t xml:space="preserve">(</w:t>
      </w:r>
      <w:hyperlink w:anchor="ref-sharrow2022_under5_mortality">
        <w:r>
          <w:rPr>
            <w:rStyle w:val="Hyperlink"/>
          </w:rPr>
          <w:t xml:space="preserve">Sharrow</w:t>
        </w:r>
        <w:r>
          <w:rPr>
            <w:rStyle w:val="Hyperlink"/>
          </w:rPr>
          <w:t xml:space="preserve"> </w:t>
        </w:r>
        <w:r>
          <w:rPr>
            <w:rStyle w:val="Hyperlink"/>
            <w:i/>
            <w:iCs/>
          </w:rPr>
          <w:t xml:space="preserve">et al.</w:t>
        </w:r>
        <w:r>
          <w:rPr>
            <w:rStyle w:val="Hyperlink"/>
          </w:rPr>
          <w:t xml:space="preserve">, 2022</w:t>
        </w:r>
      </w:hyperlink>
      <w:r>
        <w:t xml:space="preserve">)</w:t>
      </w:r>
      <w:r>
        <w:t xml:space="preserve">. Within these countries, a child’s risk also depends on household poverty, proximity to health services, access to clean water, sanitation, and health information, and place of residence. Even a better-off household may remain at risk when local services are weak or far away. For this reason, studying socioeconomic inequality in under-five mortality helps show which children are still exposed to risks that can be prevented.</w:t>
      </w:r>
    </w:p>
    <w:p>
      <w:pPr>
        <w:pStyle w:val="BodyText"/>
      </w:pPr>
      <w:r>
        <w:t xml:space="preserve">When statistical methods such as regression analysis are used in policy making, a national estimate may show that poorer children have higher mortality rates. However, it can hide subgroup differences linked to household conditions, province(administrative areas), maternal background, or demographic characteristics. Identifying risk groups matters because interventions are organised in real settings, through health facilities, communities, provinces(administrative areas), and programme catchment areas. A more detailed inequality analysis can therefore identify the groups that should receive attention and indicate where a single public health response may not be sufficient.</w:t>
      </w:r>
    </w:p>
    <w:p>
      <w:pPr>
        <w:pStyle w:val="BodyText"/>
      </w:pPr>
      <w:r>
        <w:t xml:space="preserve">Health inequality analysis commonly begins by ordering individuals or households according to socioeconomic position and then examining how the health outcome is distributed along that ordering. The concentration index provides a standard way to summarise this relationship</w:t>
      </w:r>
      <w:r>
        <w:t xml:space="preserve"> </w:t>
      </w:r>
      <w:r>
        <w:t xml:space="preserve">(</w:t>
      </w:r>
      <w:hyperlink w:anchor="ref-wagstaff2003decomposing">
        <w:r>
          <w:rPr>
            <w:rStyle w:val="Hyperlink"/>
          </w:rPr>
          <w:t xml:space="preserve">Wagstaff, van Doorslaer and Watanabe</w:t>
        </w:r>
        <w:r>
          <w:rPr>
            <w:rStyle w:val="Hyperlink"/>
          </w:rPr>
          <w:t xml:space="preserve">, 2003</w:t>
        </w:r>
      </w:hyperlink>
      <w:r>
        <w:t xml:space="preserve">)</w:t>
      </w:r>
      <w:r>
        <w:t xml:space="preserve">. Classical decomposition methods then use a regression model to estimate how different determinants contribute to the observed inequality in the outcome</w:t>
      </w:r>
      <w:r>
        <w:t xml:space="preserve"> </w:t>
      </w:r>
      <w:r>
        <w:t xml:space="preserve">(</w:t>
      </w:r>
      <w:hyperlink w:anchor="ref-wagstaff2003decomposing">
        <w:r>
          <w:rPr>
            <w:rStyle w:val="Hyperlink"/>
          </w:rPr>
          <w:t xml:space="preserve">Wagstaff, van Doorslaer and Watanabe</w:t>
        </w:r>
        <w:r>
          <w:rPr>
            <w:rStyle w:val="Hyperlink"/>
          </w:rPr>
          <w:t xml:space="preserve">, 2003</w:t>
        </w:r>
      </w:hyperlink>
      <w:r>
        <w:t xml:space="preserve">;</w:t>
      </w:r>
      <w:r>
        <w:t xml:space="preserve"> </w:t>
      </w:r>
      <w:hyperlink w:anchor="ref-speybroeck2010decomposing">
        <w:r>
          <w:rPr>
            <w:rStyle w:val="Hyperlink"/>
          </w:rPr>
          <w:t xml:space="preserve">Speybroeck</w:t>
        </w:r>
        <w:r>
          <w:rPr>
            <w:rStyle w:val="Hyperlink"/>
          </w:rPr>
          <w:t xml:space="preserve"> </w:t>
        </w:r>
        <w:r>
          <w:rPr>
            <w:rStyle w:val="Hyperlink"/>
            <w:i/>
            <w:iCs/>
          </w:rPr>
          <w:t xml:space="preserve">et al.</w:t>
        </w:r>
        <w:r>
          <w:rPr>
            <w:rStyle w:val="Hyperlink"/>
          </w:rPr>
          <w:t xml:space="preserve">, 2010</w:t>
        </w:r>
      </w:hyperlink>
      <w:r>
        <w:t xml:space="preserve">)</w:t>
      </w:r>
      <w:r>
        <w:t xml:space="preserve">. This is useful because it gives a direct additive breakdown. At the same time, the interpretation depends on the average effects from the fitted model. An important structure can therefore be missed if mortality risk varies across subgroups, if determinants act jointly, or if the relationship differs above and below certain thresholds.</w:t>
      </w:r>
    </w:p>
    <w:p>
      <w:pPr>
        <w:pStyle w:val="BodyText"/>
      </w:pPr>
      <w:r>
        <w:t xml:space="preserve">In this thesis, we develop a tree-based way of decomposing socioeconomic inequality in health. The method still uses the concentration index, but places it inside the splitting process of a tree. A typical decision tree chooses a split because it improves predictive performance. Here, the split is chosen because it separates the data into groups where socioeconomic inequality in the outcome is lower within each group. The fitted tree then produces decision rules that describe population groups. These rules are easier to discuss in public health work than regression coefficients alone, because they point to groups that policy makers, programme teams, and public health planners can recognise and act on.</w:t>
      </w:r>
    </w:p>
    <w:p>
      <w:pPr>
        <w:pStyle w:val="BodyText"/>
      </w:pPr>
      <w:r>
        <w:t xml:space="preserve">At each node, the tree searches across candidate variables and admissible split points, then selects the variable and split pair that gives the largest reduction in weighted within-node concentration-index impurity. The fitted tree is stored using the partykit tree representation for plotting and traversal</w:t>
      </w:r>
      <w:r>
        <w:t xml:space="preserve"> </w:t>
      </w:r>
      <w:r>
        <w:t xml:space="preserve">(</w:t>
      </w:r>
      <w:hyperlink w:anchor="ref-hothorn2015partykit">
        <w:r>
          <w:rPr>
            <w:rStyle w:val="Hyperlink"/>
          </w:rPr>
          <w:t xml:space="preserve">Hothorn and Zeileis, 2015</w:t>
        </w:r>
      </w:hyperlink>
      <w:r>
        <w:t xml:space="preserve">)</w:t>
      </w:r>
      <w:r>
        <w:t xml:space="preserve">, but the tree-growing rule is not the conditional-inference variable-selection rule. We then apply the same split logic in a random forest setting. The forest is useful because it averages many inequality-oriented trees and is less dependent on any single early split, although this also makes the fitted structure less transparent. To recover a readable summary of the forest, we fit a surrogate tree to the forest predictions. This follows the idea of using a representative tree to summarise the main behaviour of an ensemble in a form that can be read as decision rules</w:t>
      </w:r>
      <w:r>
        <w:t xml:space="preserve"> </w:t>
      </w:r>
      <w:r>
        <w:t xml:space="preserve">(</w:t>
      </w:r>
      <w:hyperlink w:anchor="ref-banerjee2012representative_trees">
        <w:r>
          <w:rPr>
            <w:rStyle w:val="Hyperlink"/>
          </w:rPr>
          <w:t xml:space="preserve">Banerjee, Ding and Noone, 2012</w:t>
        </w:r>
      </w:hyperlink>
      <w:r>
        <w:t xml:space="preserve">)</w:t>
      </w:r>
      <w:r>
        <w:t xml:space="preserve">. Finally, we use SHAP values to express the fitted tree-based predictions as additive feature contributions</w:t>
      </w:r>
      <w:r>
        <w:t xml:space="preserve"> </w:t>
      </w:r>
      <w:r>
        <w:t xml:space="preserve">(</w:t>
      </w:r>
      <w:hyperlink w:anchor="ref-lundberg2017unified">
        <w:r>
          <w:rPr>
            <w:rStyle w:val="Hyperlink"/>
          </w:rPr>
          <w:t xml:space="preserve">Lundberg and Lee, 2017</w:t>
        </w:r>
      </w:hyperlink>
      <w:r>
        <w:t xml:space="preserve">;</w:t>
      </w:r>
      <w:r>
        <w:t xml:space="preserve"> </w:t>
      </w:r>
      <w:hyperlink w:anchor="ref-lundberg2018tree">
        <w:r>
          <w:rPr>
            <w:rStyle w:val="Hyperlink"/>
          </w:rPr>
          <w:t xml:space="preserve">Lundberg, Erion and Lee, 2018</w:t>
        </w:r>
      </w:hyperlink>
      <w:r>
        <w:t xml:space="preserve">)</w:t>
      </w:r>
      <w:r>
        <w:t xml:space="preserve">. The surrogate tree summarises the main subgroup structure, while SHAP provides contributions at the level of the determinants.</w:t>
      </w:r>
    </w:p>
    <w:p>
      <w:pPr>
        <w:pStyle w:val="BodyText"/>
      </w:pPr>
      <w:r>
        <w:t xml:space="preserve">For the analysis, we use child-level data from the Democratic Republic of the Congo DHS phase V survey</w:t>
      </w:r>
      <w:r>
        <w:t xml:space="preserve"> </w:t>
      </w:r>
      <w:r>
        <w:t xml:space="preserve">(</w:t>
      </w:r>
      <w:hyperlink w:anchor="ref-dhs_drc_2007_dataset">
        <w:r>
          <w:rPr>
            <w:rStyle w:val="Hyperlink"/>
          </w:rPr>
          <w:t xml:space="preserve">The DRC Program Program, 2007</w:t>
        </w:r>
      </w:hyperlink>
      <w:r>
        <w:t xml:space="preserve">)</w:t>
      </w:r>
      <w:r>
        <w:t xml:space="preserve">. Under-five mortality is treated as the outcome, and the DHS household wealth index serves as the socioeconomic ranking variable. This is appropriate for the DRC setting, where DHS-based research has shown that poverty and education are associated with access to health insurance</w:t>
      </w:r>
      <w:r>
        <w:t xml:space="preserve"> </w:t>
      </w:r>
      <w:r>
        <w:t xml:space="preserve">(</w:t>
      </w:r>
      <w:hyperlink w:anchor="Xcfbd154e22107d15831b8a5ceb673d2557725b5">
        <w:r>
          <w:rPr>
            <w:rStyle w:val="Hyperlink"/>
          </w:rPr>
          <w:t xml:space="preserve">Tsala Dimbuene, Muanza Nzuzi and Nzita Kikhela, 2022</w:t>
        </w:r>
      </w:hyperlink>
      <w:r>
        <w:t xml:space="preserve">)</w:t>
      </w:r>
      <w:r>
        <w:t xml:space="preserve">. The splitting variables cover characteristics of the child, the mother, the household, occupation, residence, and province.</w:t>
      </w:r>
    </w:p>
    <w:p>
      <w:pPr>
        <w:pStyle w:val="BodyText"/>
      </w:pPr>
      <w:r>
        <w:t xml:space="preserve">The thesis is organised around four objectives. The first is to define the concentration index and demonstrate how it can serve as a splitting criterion in recursive partitioning. The second is to apply concentration-index trees and forests to under-five mortality using the DRC DHS data. The third is to examine whether different concentration-based impurity measures yield distinct split choices. The fourth is to use SHAP-based contributions to decompose the concentration index of the fitted tree-based predictions.</w:t>
      </w:r>
    </w:p>
    <w:bookmarkEnd w:id="9"/>
    <w:bookmarkStart w:id="47" w:name="sec-methodology"/>
    <w:p>
      <w:pPr>
        <w:pStyle w:val="Heading1"/>
      </w:pPr>
      <w:r>
        <w:t xml:space="preserve">Methodology</w:t>
      </w:r>
    </w:p>
    <w:bookmarkStart w:id="10" w:name="sec-data-outcome-determinants"/>
    <w:p>
      <w:pPr>
        <w:pStyle w:val="Heading2"/>
      </w:pPr>
      <w:r>
        <w:t xml:space="preserve">Data, Outcome, and Determinants</w:t>
      </w:r>
    </w:p>
    <w:p>
      <w:pPr>
        <w:pStyle w:val="FirstParagraph"/>
      </w:pPr>
      <w:r>
        <w:t xml:space="preserve">This thesis uses child-level data from the Democratic Republic of the Congo DHS Phase V survey</w:t>
      </w:r>
      <w:r>
        <w:t xml:space="preserve"> </w:t>
      </w:r>
      <w:r>
        <w:t xml:space="preserve">(</w:t>
      </w:r>
      <w:hyperlink w:anchor="ref-dhs_drc_2007_dataset">
        <w:r>
          <w:rPr>
            <w:rStyle w:val="Hyperlink"/>
          </w:rPr>
          <w:t xml:space="preserve">The DRC Program Program, 2007</w:t>
        </w:r>
      </w:hyperlink>
      <w:r>
        <w:t xml:space="preserve">)</w:t>
      </w:r>
      <w:r>
        <w:t xml:space="preserve">. The analysis includes children with complete information on the outcome, household wealth score, survey weight, and covariates used in the tree models. DHS sampling weights are rescaled and used as non-negative case weights in the inequality-tree fitting procedure.</w:t>
      </w:r>
    </w:p>
    <w:p>
      <w:pPr>
        <w:pStyle w:val="BodyText"/>
      </w:pPr>
      <w:r>
        <w:t xml:space="preserve">The outcome is under-five mortality, a binary adverse outcome:</w:t>
      </w:r>
    </w:p>
    <w:p>
      <w:pPr>
        <w:pStyle w:val="BodyText"/>
      </w:pPr>
      <m:oMathPara>
        <m:oMathParaPr>
          <m:jc m:val="center"/>
        </m:oMathParaPr>
        <m:oMath>
          <m:sSub>
            <m:e>
              <m:r>
                <m:t>Y</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if child </m:t>
                    </m:r>
                    <m:r>
                      <m:t>i</m:t>
                    </m:r>
                    <m:r>
                      <m:rPr>
                        <m:nor/>
                        <m:sty m:val="p"/>
                      </m:rPr>
                      <m:t> died before 60 months of age</m:t>
                    </m:r>
                    <m:r>
                      <m:rPr>
                        <m:sty m:val="p"/>
                      </m:rPr>
                      <m:t>,</m:t>
                    </m:r>
                  </m:e>
                </m:mr>
                <m:mr>
                  <m:e>
                    <m:r>
                      <m:t>0</m:t>
                    </m:r>
                    <m:r>
                      <m:rPr>
                        <m:sty m:val="p"/>
                      </m:rPr>
                      <m:t>,</m:t>
                    </m:r>
                  </m:e>
                  <m:e>
                    <m:r>
                      <m:rPr>
                        <m:nor/>
                        <m:sty m:val="p"/>
                      </m:rPr>
                      <m:t>otherwise</m:t>
                    </m:r>
                    <m:r>
                      <m:rPr>
                        <m:sty m:val="p"/>
                      </m:rPr>
                      <m:t>.</m:t>
                    </m:r>
                  </m:e>
                </m:mr>
              </m:m>
            </m:e>
          </m:d>
        </m:oMath>
      </m:oMathPara>
    </w:p>
    <w:p>
      <w:pPr>
        <w:pStyle w:val="FirstParagraph"/>
      </w:pPr>
      <w:r>
        <w:t xml:space="preserve">The coding uses the child’s survival status and age at death. Children who died before 60 months receive a value of one. Since the outcome is adverse, higher fitted values correspond to higher mortality risk.</w:t>
      </w:r>
    </w:p>
    <w:p>
      <w:pPr>
        <w:pStyle w:val="BodyText"/>
      </w:pPr>
      <w:r>
        <w:t xml:space="preserve">Socioeconomic position is measured using the DHS household wealth index. The continuous wealth score is used to rank children from poorer to richer households when computing the concentration index. Wealth defines the socioeconomic scale along which mortality inequality is measured.</w:t>
      </w:r>
    </w:p>
    <w:p>
      <w:pPr>
        <w:pStyle w:val="BodyText"/>
      </w:pPr>
      <w:r>
        <w:t xml:space="preserve">The independent variables describe the child, mother, household, occupation, residence, and province. They include child sex, birth-order and birth-interval group, mother’s age group, rural residence, mother’s and partner’s education, mother’s and partner’s occupation, whether either parent belongs to a low-skill or non-working occupational group, and province. Categorical variables are recoded into interpretable groups before the tree is fitted.</w:t>
      </w:r>
    </w:p>
    <w:bookmarkEnd w:id="10"/>
    <w:bookmarkStart w:id="20" w:name="sec-measuring-socioeconomic-inequality"/>
    <w:p>
      <w:pPr>
        <w:pStyle w:val="Heading2"/>
      </w:pPr>
      <w:r>
        <w:t xml:space="preserve">Measuring Socioeconomic Inequality in Health</w:t>
      </w:r>
    </w:p>
    <w:p>
      <w:pPr>
        <w:pStyle w:val="FirstParagraph"/>
      </w:pPr>
      <w:r>
        <w:t xml:space="preserve">This methodology aims to develop a decomposition of health inequalities using tree methods. We will first introduce the concepts of health inequality decomposition, then move to tree-based methods.</w:t>
      </w:r>
    </w:p>
    <w:bookmarkStart w:id="15" w:name="sec-concentration-index"/>
    <w:p>
      <w:pPr>
        <w:pStyle w:val="Heading3"/>
      </w:pPr>
      <w:r>
        <w:t xml:space="preserve">The Concentration Index</w:t>
      </w:r>
    </w:p>
    <w:p>
      <w:pPr>
        <w:pStyle w:val="FirstParagraph"/>
      </w:pPr>
      <w:r>
        <w:t xml:space="preserve">The concentration index measures socioeconomic-related inequality in a health variable. It uses the concentration curve, which plots the cumulative proportion of the health variable on the vertical axis against the cumulative proportion of the population on the horizontal axis. Individuals are ordered from the most disadvantaged to the most advantaged before constructing the curve</w:t>
      </w:r>
      <w:r>
        <w:t xml:space="preserve"> </w:t>
      </w:r>
      <w:r>
        <w:t xml:space="preserve">(</w:t>
      </w:r>
      <w:hyperlink w:anchor="ref-wagstaff2003decomposing">
        <w:r>
          <w:rPr>
            <w:rStyle w:val="Hyperlink"/>
          </w:rPr>
          <w:t xml:space="preserve">Wagstaff, van Doorslaer and Watanabe</w:t>
        </w:r>
        <w:r>
          <w:rPr>
            <w:rStyle w:val="Hyperlink"/>
          </w:rPr>
          <w:t xml:space="preserve">, 2003</w:t>
        </w:r>
      </w:hyperlink>
      <w:r>
        <w:t xml:space="preserve">)</w:t>
      </w:r>
      <w:r>
        <w:t xml:space="preserve">. When the curve follows the 45-degree line, the health variable has the same distribution across the socioeconomic ranking.</w:t>
      </w:r>
    </w:p>
    <w:p>
      <w:pPr>
        <w:pStyle w:val="BodyText"/>
      </w:pPr>
      <m:oMath>
        <m:sSub>
          <m:e>
            <m:r>
              <m:t>y</m:t>
            </m:r>
          </m:e>
          <m:sub>
            <m:r>
              <m:t>i</m:t>
            </m:r>
          </m:sub>
        </m:sSub>
      </m:oMath>
      <w:r>
        <w:t xml:space="preserve"> </w:t>
      </w:r>
      <w:r>
        <w:t xml:space="preserve">denotes the health variable for individual</w:t>
      </w:r>
      <w:r>
        <w:t xml:space="preserve"> </w:t>
      </w:r>
      <m:oMath>
        <m:r>
          <m:t>i</m:t>
        </m:r>
      </m:oMath>
      <w:r>
        <w:t xml:space="preserve">, and let</w:t>
      </w:r>
      <w:r>
        <w:t xml:space="preserve"> </w:t>
      </w:r>
      <m:oMath>
        <m:sSub>
          <m:e>
            <m:r>
              <m:t>R</m:t>
            </m:r>
          </m:e>
          <m:sub>
            <m:r>
              <m:t>i</m:t>
            </m:r>
          </m:sub>
        </m:sSub>
      </m:oMath>
      <w:r>
        <w:t xml:space="preserve"> </w:t>
      </w:r>
      <w:r>
        <w:t xml:space="preserve">denote that individual’s fractional socioeconomic rank, ordered from poorest to richest. For an unweighted sample, the fractional rank is</w:t>
      </w:r>
    </w:p>
    <w:p>
      <w:pPr>
        <w:pStyle w:val="BodyText"/>
      </w:pPr>
      <m:oMathPara>
        <m:oMathParaPr>
          <m:jc m:val="center"/>
        </m:oMathParaPr>
        <m:oMath>
          <m:sSub>
            <m:e>
              <m:r>
                <m:t>R</m:t>
              </m:r>
            </m:e>
            <m:sub>
              <m:r>
                <m:t>i</m:t>
              </m:r>
            </m:sub>
          </m:sSub>
          <m:r>
            <m:rPr>
              <m:sty m:val="p"/>
            </m:rPr>
            <m:t>=</m:t>
          </m:r>
          <m:f>
            <m:fPr>
              <m:type m:val="bar"/>
            </m:fPr>
            <m:num>
              <m:r>
                <m:t>i</m:t>
              </m:r>
              <m:r>
                <m:rPr>
                  <m:sty m:val="p"/>
                </m:rPr>
                <m:t>−</m:t>
              </m:r>
              <m:r>
                <m:t>0.5</m:t>
              </m:r>
            </m:num>
            <m:den>
              <m:r>
                <m:t>n</m:t>
              </m:r>
            </m:den>
          </m:f>
          <m:r>
            <m:rPr>
              <m:sty m:val="p"/>
            </m:rPr>
            <m:t>,</m:t>
          </m:r>
        </m:oMath>
      </m:oMathPara>
    </w:p>
    <w:p>
      <w:pPr>
        <w:pStyle w:val="FirstParagraph"/>
      </w:pPr>
      <w:r>
        <w:t xml:space="preserve">where</w:t>
      </w:r>
      <w:r>
        <w:t xml:space="preserve"> </w:t>
      </w:r>
      <m:oMath>
        <m:r>
          <m:t>i</m:t>
        </m:r>
        <m:r>
          <m:rPr>
            <m:sty m:val="p"/>
          </m:rPr>
          <m:t>=</m:t>
        </m:r>
        <m:r>
          <m:t>1</m:t>
        </m:r>
        <m:r>
          <m:rPr>
            <m:sty m:val="p"/>
          </m:rPr>
          <m:t>,</m:t>
        </m:r>
        <m:r>
          <m:rPr>
            <m:sty m:val="p"/>
          </m:rPr>
          <m:t>…</m:t>
        </m:r>
        <m:r>
          <m:rPr>
            <m:sty m:val="p"/>
          </m:rPr>
          <m:t>,</m:t>
        </m:r>
        <m:r>
          <m:t>n</m:t>
        </m:r>
      </m:oMath>
      <w:r>
        <w:t xml:space="preserve"> </w:t>
      </w:r>
      <w:r>
        <w:t xml:space="preserve">denotes the individual’s position in the socioeconomic ranking. If</w:t>
      </w:r>
      <w:r>
        <w:t xml:space="preserve"> </w:t>
      </w:r>
      <m:oMath>
        <m:r>
          <m:t>μ</m:t>
        </m:r>
      </m:oMath>
      <w:r>
        <w:t xml:space="preserve"> </w:t>
      </w:r>
      <w:r>
        <w:t xml:space="preserve">is the mean of</w:t>
      </w:r>
      <w:r>
        <w:t xml:space="preserve"> </w:t>
      </w:r>
      <m:oMath>
        <m:r>
          <m:t>y</m:t>
        </m:r>
      </m:oMath>
      <w:r>
        <w:t xml:space="preserve">, the concentration index is</w:t>
      </w:r>
    </w:p>
    <w:p>
      <w:pPr>
        <w:pStyle w:val="BodyText"/>
      </w:pPr>
      <m:oMathPara>
        <m:oMathParaPr>
          <m:jc m:val="center"/>
        </m:oMathParaPr>
        <m:oMath>
          <m:r>
            <m:t>C</m:t>
          </m:r>
          <m:r>
            <m:rPr>
              <m:sty m:val="p"/>
            </m:rPr>
            <m:t>=</m:t>
          </m:r>
          <m:f>
            <m:fPr>
              <m:type m:val="bar"/>
            </m:fPr>
            <m:num>
              <m:r>
                <m:t>2</m:t>
              </m:r>
            </m:num>
            <m:den>
              <m:r>
                <m:t>n</m:t>
              </m:r>
              <m:r>
                <m:t>μ</m:t>
              </m:r>
            </m:den>
          </m:f>
          <m:nary>
            <m:naryPr>
              <m:chr m:val="∑"/>
              <m:limLoc m:val="undOvr"/>
              <m:subHide m:val="off"/>
              <m:supHide m:val="off"/>
            </m:naryPr>
            <m:sub>
              <m:r>
                <m:t>i</m:t>
              </m:r>
              <m:r>
                <m:rPr>
                  <m:sty m:val="p"/>
                </m:rPr>
                <m:t>=</m:t>
              </m:r>
              <m:r>
                <m:t>1</m:t>
              </m:r>
            </m:sub>
            <m:sup>
              <m:r>
                <m:t>n</m:t>
              </m:r>
            </m:sup>
            <m:e>
              <m:sSub>
                <m:e>
                  <m:r>
                    <m:t>y</m:t>
                  </m:r>
                </m:e>
                <m:sub>
                  <m:r>
                    <m:t>i</m:t>
                  </m:r>
                </m:sub>
              </m:sSub>
            </m:e>
          </m:nary>
          <m:sSub>
            <m:e>
              <m:r>
                <m:t>R</m:t>
              </m:r>
            </m:e>
            <m:sub>
              <m:r>
                <m:t>i</m:t>
              </m:r>
            </m:sub>
          </m:sSub>
          <m:r>
            <m:rPr>
              <m:sty m:val="p"/>
            </m:rPr>
            <m:t>−</m:t>
          </m:r>
          <m:r>
            <m:t>1</m:t>
          </m:r>
          <m:r>
            <m:rPr>
              <m:sty m:val="p"/>
            </m:rPr>
            <m:t>.</m:t>
          </m:r>
        </m:oMath>
      </m:oMathPara>
    </w:p>
    <w:p>
      <w:pPr>
        <w:pStyle w:val="FirstParagraph"/>
      </w:pPr>
      <w:r>
        <w:t xml:space="preserve">A value of zero indicates no socioeconomic-related inequality in the health variable. A negative value indicates that the variable is concentrated among poorer individuals, while a positive value indicates that it is concentrated among richer individuals. The sign, therefore, depends on the meaning of the health variable. For adverse outcomes such as mortality, illness, or malnutrition, a negative concentration index indicates inequality that disadvantages people with low incomes.</w:t>
      </w:r>
    </w:p>
    <w:p>
      <w:pPr>
        <w:pStyle w:val="BodyText"/>
      </w:pPr>
      <w:r>
        <w:t xml:space="preserve">In the simulated example in</w:t>
      </w:r>
      <w:r>
        <w:t xml:space="preserve"> </w:t>
      </w:r>
      <w:hyperlink w:anchor="fig-concentration-curve">
        <w:r>
          <w:rPr>
            <w:rStyle w:val="Hyperlink"/>
          </w:rPr>
          <w:t xml:space="preserve">Figure 1</w:t>
        </w:r>
      </w:hyperlink>
      <w:r>
        <w:t xml:space="preserve">, we simulate the health outcome to be concentrated among poorer individuals, so the curve lies above the 45-degree line and the concentration index is negative (-0.314).</w:t>
      </w:r>
    </w:p>
    <w:tbl>
      <w:tblPr>
        <w:tblStyle w:val="Table"/>
        <w:tblW w:type="pct" w:w="5000"/>
        <w:tblLayout w:type="fixed"/>
        <w:tblLook w:firstRow="0" w:lastRow="0" w:firstColumn="0" w:lastColumn="0" w:noHBand="0" w:noVBand="0" w:val="0000"/>
      </w:tblPr>
      <w:tblGrid>
        <w:gridCol w:w="7920"/>
      </w:tblGrid>
      <w:tr>
        <w:tc>
          <w:tcPr/>
          <w:bookmarkStart w:id="14" w:name="fig-concentration-curve"/>
          <w:p>
            <w:pPr>
              <w:pStyle w:val="Compact"/>
              <w:jc w:val="center"/>
            </w:pPr>
            <w:r>
              <w:drawing>
                <wp:inline>
                  <wp:extent cx="5334000" cy="2286000"/>
                  <wp:effectExtent b="0" l="0" r="0" t="0"/>
                  <wp:docPr descr="" title="" id="12" name="Picture"/>
                  <a:graphic>
                    <a:graphicData uri="http://schemas.openxmlformats.org/drawingml/2006/picture">
                      <pic:pic>
                        <pic:nvPicPr>
                          <pic:cNvPr descr="MSE_Thesis_Decomposition_of_CI_Trees_MM_files/figure-docx/fig-concentration-curve-1.pdf" id="13" name="Picture"/>
                          <pic:cNvPicPr>
                            <a:picLocks noChangeArrowheads="1" noChangeAspect="1"/>
                          </pic:cNvPicPr>
                        </pic:nvPicPr>
                        <pic:blipFill>
                          <a:blip r:embed="rId11"/>
                          <a:stretch>
                            <a:fillRect/>
                          </a:stretch>
                        </pic:blipFill>
                        <pic:spPr bwMode="auto">
                          <a:xfrm>
                            <a:off x="0" y="0"/>
                            <a:ext cx="5334000" cy="228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Illustration of a concentration curve using a simple hypothetical example.</w:t>
            </w:r>
          </w:p>
          <w:bookmarkEnd w:id="14"/>
        </w:tc>
      </w:tr>
    </w:tbl>
    <w:bookmarkEnd w:id="15"/>
    <w:bookmarkStart w:id="16" w:name="sec-decomposing-inequality"/>
    <w:p>
      <w:pPr>
        <w:pStyle w:val="Heading3"/>
      </w:pPr>
      <w:r>
        <w:t xml:space="preserve">Decomposing Socioeconomic Inequality in Health</w:t>
      </w:r>
    </w:p>
    <w:p>
      <w:pPr>
        <w:pStyle w:val="FirstParagraph"/>
      </w:pPr>
      <w:r>
        <w:t xml:space="preserve">Inequality is measured in the observed health outcome</w:t>
      </w:r>
      <w:r>
        <w:t xml:space="preserve"> </w:t>
      </w:r>
      <m:oMath>
        <m:sSub>
          <m:e>
            <m:r>
              <m:t>y</m:t>
            </m:r>
          </m:e>
          <m:sub>
            <m:r>
              <m:t>i</m:t>
            </m:r>
          </m:sub>
        </m:sSub>
      </m:oMath>
      <w:r>
        <w:t xml:space="preserve">, but interventions usually work through the factors that affect health rather than through the outcome itself. Decomposition helps relate inequality in</w:t>
      </w:r>
      <w:r>
        <w:t xml:space="preserve"> </w:t>
      </w:r>
      <m:oMath>
        <m:sSub>
          <m:e>
            <m:r>
              <m:t>y</m:t>
            </m:r>
          </m:e>
          <m:sub>
            <m:r>
              <m:t>i</m:t>
            </m:r>
          </m:sub>
        </m:sSub>
      </m:oMath>
      <w:r>
        <w:t xml:space="preserve"> </w:t>
      </w:r>
      <w:r>
        <w:t xml:space="preserve">to the observed social determinants that may explain it.</w:t>
      </w:r>
    </w:p>
    <w:p>
      <w:pPr>
        <w:pStyle w:val="BodyText"/>
      </w:pPr>
      <w:r>
        <w:t xml:space="preserve">Let the health outcome for the individual</w:t>
      </w:r>
      <w:r>
        <w:t xml:space="preserve"> </w:t>
      </w:r>
      <m:oMath>
        <m:r>
          <m:t>i</m:t>
        </m:r>
      </m:oMath>
      <w:r>
        <w:t xml:space="preserve"> </w:t>
      </w:r>
      <w:r>
        <w:t xml:space="preserve">be defined.</w:t>
      </w:r>
    </w:p>
    <w:p>
      <w:pPr>
        <w:pStyle w:val="BodyText"/>
      </w:pPr>
      <m:oMathPara>
        <m:oMathParaPr>
          <m:jc m:val="center"/>
        </m:oMathParaPr>
        <m:oMath>
          <m:sSub>
            <m:e>
              <m:r>
                <m:t>y</m:t>
              </m:r>
            </m:e>
            <m:sub>
              <m:r>
                <m:t>i</m:t>
              </m:r>
            </m:sub>
          </m:sSub>
          <m:r>
            <m:rPr>
              <m:sty m:val="p"/>
            </m:rPr>
            <m:t>=</m:t>
          </m:r>
          <m:r>
            <m:t>f</m:t>
          </m:r>
          <m:r>
            <m:rPr>
              <m:sty m:val="p"/>
            </m:rPr>
            <m:t>(</m:t>
          </m:r>
          <m:sSub>
            <m:e>
              <m:r>
                <m:t>x</m:t>
              </m:r>
            </m:e>
            <m:sub>
              <m:r>
                <m:t>i</m:t>
              </m:r>
            </m:sub>
          </m:sSub>
          <m:r>
            <m:rPr>
              <m:sty m:val="p"/>
            </m:rPr>
            <m:t>)</m:t>
          </m:r>
          <m:r>
            <m:rPr>
              <m:sty m:val="p"/>
            </m:rPr>
            <m:t>+</m:t>
          </m:r>
          <m:sSub>
            <m:e>
              <m:r>
                <m:t>ε</m:t>
              </m:r>
            </m:e>
            <m:sub>
              <m:r>
                <m:t>i</m:t>
              </m:r>
            </m:sub>
          </m:sSub>
          <m:r>
            <m:rPr>
              <m:sty m:val="p"/>
            </m:rPr>
            <m:t>,</m:t>
          </m:r>
        </m:oMath>
      </m:oMathPara>
    </w:p>
    <w:p>
      <w:pPr>
        <w:pStyle w:val="FirstParagraph"/>
      </w:pPr>
      <w:r>
        <w:t xml:space="preserve">where</w:t>
      </w:r>
      <w:r>
        <w:t xml:space="preserve"> </w:t>
      </w:r>
      <m:oMath>
        <m:sSub>
          <m:e>
            <m:r>
              <m:t>x</m:t>
            </m:r>
          </m:e>
          <m:sub>
            <m:r>
              <m:t>i</m:t>
            </m:r>
          </m:sub>
        </m:sSub>
      </m:oMath>
      <w:r>
        <w:t xml:space="preserve"> </w:t>
      </w:r>
      <w:r>
        <w:t xml:space="preserve">denotes the observed determinants and</w:t>
      </w:r>
      <w:r>
        <w:t xml:space="preserve"> </w:t>
      </w:r>
      <m:oMath>
        <m:sSub>
          <m:e>
            <m:r>
              <m:t>ε</m:t>
            </m:r>
          </m:e>
          <m:sub>
            <m:r>
              <m:t>i</m:t>
            </m:r>
          </m:sub>
        </m:sSub>
      </m:oMath>
      <w:r>
        <w:t xml:space="preserve"> </w:t>
      </w:r>
      <w:r>
        <w:t xml:space="preserve">represents the part that the model does not explain. Let</w:t>
      </w:r>
      <w:r>
        <w:t xml:space="preserve"> </w:t>
      </w:r>
      <m:oMath>
        <m:sSub>
          <m:e>
            <m:acc>
              <m:accPr>
                <m:chr m:val="̂"/>
              </m:accPr>
              <m:e>
                <m:r>
                  <m:t>y</m:t>
                </m:r>
              </m:e>
            </m:acc>
          </m:e>
          <m:sub>
            <m:r>
              <m:t>i</m:t>
            </m:r>
          </m:sub>
        </m:sSub>
        <m:r>
          <m:rPr>
            <m:sty m:val="p"/>
          </m:rPr>
          <m:t>=</m:t>
        </m:r>
        <m:r>
          <m:t>f</m:t>
        </m:r>
        <m:r>
          <m:rPr>
            <m:sty m:val="p"/>
          </m:rPr>
          <m:t>(</m:t>
        </m:r>
        <m:sSub>
          <m:e>
            <m:r>
              <m:t>x</m:t>
            </m:r>
          </m:e>
          <m:sub>
            <m:r>
              <m:t>i</m:t>
            </m:r>
          </m:sub>
        </m:sSub>
        <m:r>
          <m:rPr>
            <m:sty m:val="p"/>
          </m:rPr>
          <m:t>)</m:t>
        </m:r>
      </m:oMath>
      <w:r>
        <w:t xml:space="preserve"> </w:t>
      </w:r>
      <w:r>
        <w:t xml:space="preserve">be the fitted value, and use this fitted model to decompose the concentration index.</w:t>
      </w:r>
    </w:p>
    <w:p>
      <w:pPr>
        <w:pStyle w:val="BodyText"/>
      </w:pPr>
      <m:oMathPara>
        <m:oMathParaPr>
          <m:jc m:val="center"/>
        </m:oMathParaPr>
        <m:oMath>
          <m:r>
            <m:t>C</m:t>
          </m:r>
          <m:r>
            <m:rPr>
              <m:sty m:val="p"/>
            </m:rPr>
            <m:t>=</m:t>
          </m:r>
          <m:f>
            <m:fPr>
              <m:type m:val="bar"/>
            </m:fPr>
            <m:num>
              <m:r>
                <m:t>2</m:t>
              </m:r>
            </m:num>
            <m:den>
              <m:r>
                <m:t>n</m:t>
              </m:r>
              <m:r>
                <m:t>μ</m:t>
              </m:r>
            </m:den>
          </m:f>
          <m:nary>
            <m:naryPr>
              <m:chr m:val="∑"/>
              <m:limLoc m:val="undOvr"/>
              <m:subHide m:val="off"/>
              <m:supHide m:val="off"/>
            </m:naryPr>
            <m:sub>
              <m:r>
                <m:t>i</m:t>
              </m:r>
              <m:r>
                <m:rPr>
                  <m:sty m:val="p"/>
                </m:rPr>
                <m:t>=</m:t>
              </m:r>
              <m:r>
                <m:t>1</m:t>
              </m:r>
            </m:sub>
            <m:sup>
              <m:r>
                <m:t>n</m:t>
              </m:r>
            </m:sup>
            <m:e>
              <m:sSub>
                <m:e>
                  <m:acc>
                    <m:accPr>
                      <m:chr m:val="̂"/>
                    </m:accPr>
                    <m:e>
                      <m:r>
                        <m:t>y</m:t>
                      </m:r>
                    </m:e>
                  </m:acc>
                </m:e>
                <m:sub>
                  <m:r>
                    <m:t>i</m:t>
                  </m:r>
                </m:sub>
              </m:sSub>
            </m:e>
          </m:nary>
          <m:sSub>
            <m:e>
              <m:r>
                <m:t>R</m:t>
              </m:r>
            </m:e>
            <m:sub>
              <m:r>
                <m:t>i</m:t>
              </m:r>
            </m:sub>
          </m:sSub>
          <m:r>
            <m:rPr>
              <m:sty m:val="p"/>
            </m:rPr>
            <m:t>−</m:t>
          </m:r>
          <m:r>
            <m:t>1</m:t>
          </m:r>
          <m:r>
            <m:rPr>
              <m:sty m:val="p"/>
            </m:rPr>
            <m:t>,</m:t>
          </m:r>
        </m:oMath>
      </m:oMathPara>
    </w:p>
    <w:p>
      <w:pPr>
        <w:pStyle w:val="FirstParagraph"/>
      </w:pPr>
      <w:r>
        <w:t xml:space="preserve">where:</w:t>
      </w:r>
    </w:p>
    <w:p>
      <w:pPr>
        <w:pStyle w:val="BodyText"/>
      </w:pPr>
      <m:oMath>
        <m:sSub>
          <m:e>
            <m:acc>
              <m:accPr>
                <m:chr m:val="̂"/>
              </m:accPr>
              <m:e>
                <m:r>
                  <m:t>y</m:t>
                </m:r>
              </m:e>
            </m:acc>
          </m:e>
          <m:sub>
            <m:r>
              <m:t>i</m:t>
            </m:r>
          </m:sub>
        </m:sSub>
      </m:oMath>
      <w:r>
        <w:t xml:space="preserve"> </w:t>
      </w:r>
      <w:r>
        <w:t xml:space="preserve">is the estimated health outcome for an individual</w:t>
      </w:r>
      <w:r>
        <w:t xml:space="preserve"> </w:t>
      </w:r>
      <m:oMath>
        <m:r>
          <m:t>i</m:t>
        </m:r>
      </m:oMath>
      <w:r>
        <w:t xml:space="preserve"> </w:t>
      </w:r>
      <w:r>
        <w:t xml:space="preserve">based on the observed determinants</w:t>
      </w:r>
      <w:r>
        <w:t xml:space="preserve"> </w:t>
      </w:r>
      <m:oMath>
        <m:sSub>
          <m:e>
            <m:r>
              <m:t>x</m:t>
            </m:r>
          </m:e>
          <m:sub>
            <m:r>
              <m:t>i</m:t>
            </m:r>
          </m:sub>
        </m:sSub>
      </m:oMath>
      <w:r>
        <w:t xml:space="preserve">.</w:t>
      </w:r>
      <w:r>
        <w:t xml:space="preserve"> </w:t>
      </w:r>
      <w:r>
        <w:t xml:space="preserve">(</w:t>
      </w:r>
      <w:hyperlink w:anchor="ref-wagstaff2003decomposing">
        <w:r>
          <w:rPr>
            <w:rStyle w:val="Hyperlink"/>
          </w:rPr>
          <w:t xml:space="preserve">Wagstaff, van Doorslaer and Watanabe</w:t>
        </w:r>
        <w:r>
          <w:rPr>
            <w:rStyle w:val="Hyperlink"/>
          </w:rPr>
          <w:t xml:space="preserve">, 2003</w:t>
        </w:r>
      </w:hyperlink>
      <w:r>
        <w:t xml:space="preserve">)</w:t>
      </w:r>
      <w:r>
        <w:t xml:space="preserve"> </w:t>
      </w:r>
      <w:r>
        <w:t xml:space="preserve">showed that the decomposition of the concentration index results in the following expressions:</w:t>
      </w:r>
    </w:p>
    <w:p>
      <w:pPr>
        <w:pStyle w:val="BodyText"/>
      </w:pPr>
      <m:oMathPara>
        <m:oMathParaPr>
          <m:jc m:val="center"/>
        </m:oMathParaPr>
        <m:oMath>
          <m:r>
            <m:t>C</m:t>
          </m:r>
          <m:r>
            <m:rPr>
              <m:sty m:val="p"/>
            </m:rPr>
            <m:t>=</m:t>
          </m:r>
          <m:nary>
            <m:naryPr>
              <m:chr m:val="∑"/>
              <m:limLoc m:val="undOvr"/>
              <m:subHide m:val="off"/>
              <m:supHide m:val="on"/>
            </m:naryPr>
            <m:sub>
              <m:r>
                <m:t>k</m:t>
              </m:r>
            </m:sub>
            <m:sup>
              <m:r>
                <m:t>​</m:t>
              </m:r>
            </m:sup>
            <m:e>
              <m:d>
                <m:dPr>
                  <m:begChr m:val="("/>
                  <m:sepChr m:val=""/>
                  <m:endChr m:val=")"/>
                  <m:grow/>
                </m:dPr>
                <m:e>
                  <m:f>
                    <m:fPr>
                      <m:type m:val="bar"/>
                    </m:fPr>
                    <m:num>
                      <m:sSub>
                        <m:e>
                          <m:r>
                            <m:t>β</m:t>
                          </m:r>
                        </m:e>
                        <m:sub>
                          <m:r>
                            <m:t>k</m:t>
                          </m:r>
                        </m:sub>
                      </m:sSub>
                      <m:sSub>
                        <m:e>
                          <m:acc>
                            <m:accPr>
                              <m:chr m:val="‾"/>
                            </m:accPr>
                            <m:e>
                              <m:r>
                                <m:t>x</m:t>
                              </m:r>
                            </m:e>
                          </m:acc>
                        </m:e>
                        <m:sub>
                          <m:r>
                            <m:t>k</m:t>
                          </m:r>
                        </m:sub>
                      </m:sSub>
                    </m:num>
                    <m:den>
                      <m:r>
                        <m:t>μ</m:t>
                      </m:r>
                    </m:den>
                  </m:f>
                </m:e>
              </m:d>
            </m:e>
          </m:nary>
          <m:sSub>
            <m:e>
              <m:r>
                <m:t>C</m:t>
              </m:r>
            </m:e>
            <m:sub>
              <m:r>
                <m:t>k</m:t>
              </m:r>
            </m:sub>
          </m:sSub>
          <m:r>
            <m:rPr>
              <m:sty m:val="p"/>
            </m:rPr>
            <m:t>+</m:t>
          </m:r>
          <m:f>
            <m:fPr>
              <m:type m:val="bar"/>
            </m:fPr>
            <m:num>
              <m:r>
                <m:t>G</m:t>
              </m:r>
              <m:sSub>
                <m:e>
                  <m:r>
                    <m:t>C</m:t>
                  </m:r>
                </m:e>
                <m:sub>
                  <m:r>
                    <m:t>ε</m:t>
                  </m:r>
                </m:sub>
              </m:sSub>
            </m:num>
            <m:den>
              <m:r>
                <m:t>μ</m:t>
              </m:r>
            </m:den>
          </m:f>
          <m:r>
            <m:rPr>
              <m:sty m:val="p"/>
            </m:rPr>
            <m:t>.</m:t>
          </m:r>
        </m:oMath>
      </m:oMathPara>
    </w:p>
    <w:p>
      <w:pPr>
        <w:pStyle w:val="FirstParagraph"/>
      </w:pPr>
      <w:r>
        <w:t xml:space="preserve">In this expression,</w:t>
      </w:r>
      <w:r>
        <w:t xml:space="preserve"> </w:t>
      </w:r>
      <m:oMath>
        <m:r>
          <m:t>C</m:t>
        </m:r>
      </m:oMath>
      <w:r>
        <w:t xml:space="preserve"> </w:t>
      </w:r>
      <w:r>
        <w:t xml:space="preserve">is the concentration index of the health outcome,</w:t>
      </w:r>
      <w:r>
        <w:t xml:space="preserve"> </w:t>
      </w:r>
      <m:oMath>
        <m:r>
          <m:t>μ</m:t>
        </m:r>
      </m:oMath>
      <w:r>
        <w:t xml:space="preserve"> </w:t>
      </w:r>
      <w:r>
        <w:t xml:space="preserve">is the mean of that outcome,</w:t>
      </w:r>
      <w:r>
        <w:t xml:space="preserve"> </w:t>
      </w:r>
      <m:oMath>
        <m:sSub>
          <m:e>
            <m:r>
              <m:t>β</m:t>
            </m:r>
          </m:e>
          <m:sub>
            <m:r>
              <m:t>k</m:t>
            </m:r>
          </m:sub>
        </m:sSub>
      </m:oMath>
      <w:r>
        <w:t xml:space="preserve"> </w:t>
      </w:r>
      <w:r>
        <w:t xml:space="preserve">is the regression coefficient for determinant</w:t>
      </w:r>
      <w:r>
        <w:t xml:space="preserve"> </w:t>
      </w:r>
      <m:oMath>
        <m:sSub>
          <m:e>
            <m:r>
              <m:t>x</m:t>
            </m:r>
          </m:e>
          <m:sub>
            <m:r>
              <m:t>k</m:t>
            </m:r>
          </m:sub>
        </m:sSub>
      </m:oMath>
      <w:r>
        <w:t xml:space="preserve">,</w:t>
      </w:r>
      <w:r>
        <w:t xml:space="preserve"> </w:t>
      </w:r>
      <m:oMath>
        <m:sSub>
          <m:e>
            <m:acc>
              <m:accPr>
                <m:chr m:val="‾"/>
              </m:accPr>
              <m:e>
                <m:r>
                  <m:t>x</m:t>
                </m:r>
              </m:e>
            </m:acc>
          </m:e>
          <m:sub>
            <m:r>
              <m:t>k</m:t>
            </m:r>
          </m:sub>
        </m:sSub>
      </m:oMath>
      <w:r>
        <w:t xml:space="preserve"> </w:t>
      </w:r>
      <w:r>
        <w:t xml:space="preserve">is the mean of</w:t>
      </w:r>
      <w:r>
        <w:t xml:space="preserve"> </w:t>
      </w:r>
      <m:oMath>
        <m:sSub>
          <m:e>
            <m:r>
              <m:t>x</m:t>
            </m:r>
          </m:e>
          <m:sub>
            <m:r>
              <m:t>k</m:t>
            </m:r>
          </m:sub>
        </m:sSub>
      </m:oMath>
      <w:r>
        <w:t xml:space="preserve">, and</w:t>
      </w:r>
      <w:r>
        <w:t xml:space="preserve"> </w:t>
      </w:r>
      <m:oMath>
        <m:sSub>
          <m:e>
            <m:r>
              <m:t>C</m:t>
            </m:r>
          </m:e>
          <m:sub>
            <m:r>
              <m:t>k</m:t>
            </m:r>
          </m:sub>
        </m:sSub>
      </m:oMath>
      <w:r>
        <w:t xml:space="preserve"> </w:t>
      </w:r>
      <w:r>
        <w:t xml:space="preserve">is the concentration index of that determinant. The last term,</w:t>
      </w:r>
      <w:r>
        <w:t xml:space="preserve"> </w:t>
      </w:r>
      <m:oMath>
        <m:r>
          <m:t>G</m:t>
        </m:r>
        <m:sSub>
          <m:e>
            <m:r>
              <m:t>C</m:t>
            </m:r>
          </m:e>
          <m:sub>
            <m:r>
              <m:t>ε</m:t>
            </m:r>
          </m:sub>
        </m:sSub>
      </m:oMath>
      <w:r>
        <w:t xml:space="preserve">, is the generalised concentration index of the regression residuals. From this, we can infer that the contribution to the determinant</w:t>
      </w:r>
      <w:r>
        <w:t xml:space="preserve"> </w:t>
      </w:r>
      <m:oMath>
        <m:sSub>
          <m:e>
            <m:r>
              <m:t>x</m:t>
            </m:r>
          </m:e>
          <m:sub>
            <m:r>
              <m:t>k</m:t>
            </m:r>
          </m:sub>
        </m:sSub>
      </m:oMath>
      <w:r>
        <w:t xml:space="preserve"> </w:t>
      </w:r>
      <w:r>
        <w:t xml:space="preserve">is</w:t>
      </w:r>
    </w:p>
    <w:p>
      <w:pPr>
        <w:pStyle w:val="BodyText"/>
      </w:pPr>
      <m:oMathPara>
        <m:oMathParaPr>
          <m:jc m:val="center"/>
        </m:oMathParaPr>
        <m:oMath>
          <m:r>
            <m:rPr>
              <m:nor/>
              <m:sty m:val="p"/>
            </m:rPr>
            <m:t>Contribution of </m:t>
          </m:r>
          <m:sSub>
            <m:e>
              <m:r>
                <m:t>x</m:t>
              </m:r>
            </m:e>
            <m:sub>
              <m:r>
                <m:t>k</m:t>
              </m:r>
            </m:sub>
          </m:sSub>
          <m:r>
            <m:rPr>
              <m:sty m:val="p"/>
            </m:rPr>
            <m:t>=</m:t>
          </m:r>
          <m:d>
            <m:dPr>
              <m:begChr m:val="("/>
              <m:sepChr m:val=""/>
              <m:endChr m:val=")"/>
              <m:grow/>
            </m:dPr>
            <m:e>
              <m:f>
                <m:fPr>
                  <m:type m:val="bar"/>
                </m:fPr>
                <m:num>
                  <m:sSub>
                    <m:e>
                      <m:r>
                        <m:t>β</m:t>
                      </m:r>
                    </m:e>
                    <m:sub>
                      <m:r>
                        <m:t>k</m:t>
                      </m:r>
                    </m:sub>
                  </m:sSub>
                  <m:sSub>
                    <m:e>
                      <m:acc>
                        <m:accPr>
                          <m:chr m:val="‾"/>
                        </m:accPr>
                        <m:e>
                          <m:r>
                            <m:t>x</m:t>
                          </m:r>
                        </m:e>
                      </m:acc>
                    </m:e>
                    <m:sub>
                      <m:r>
                        <m:t>k</m:t>
                      </m:r>
                    </m:sub>
                  </m:sSub>
                </m:num>
                <m:den>
                  <m:r>
                    <m:t>μ</m:t>
                  </m:r>
                </m:den>
              </m:f>
            </m:e>
          </m:d>
          <m:sSub>
            <m:e>
              <m:r>
                <m:t>C</m:t>
              </m:r>
            </m:e>
            <m:sub>
              <m:r>
                <m:t>k</m:t>
              </m:r>
            </m:sub>
          </m:sSub>
          <m:r>
            <m:rPr>
              <m:sty m:val="p"/>
            </m:rPr>
            <m:t>.</m:t>
          </m:r>
        </m:oMath>
      </m:oMathPara>
    </w:p>
    <w:p>
      <w:pPr>
        <w:pStyle w:val="FirstParagraph"/>
      </w:pPr>
      <w:r>
        <w:t xml:space="preserve">The concentration index(</w:t>
      </w:r>
      <m:oMath>
        <m:sSub>
          <m:e>
            <m:r>
              <m:t>C</m:t>
            </m:r>
          </m:e>
          <m:sub>
            <m:r>
              <m:t>k</m:t>
            </m:r>
          </m:sub>
        </m:sSub>
      </m:oMath>
      <w:r>
        <w:t xml:space="preserve">) for determinant</w:t>
      </w:r>
      <w:r>
        <w:t xml:space="preserve"> </w:t>
      </w:r>
      <m:oMath>
        <m:sSub>
          <m:e>
            <m:r>
              <m:t>x</m:t>
            </m:r>
          </m:e>
          <m:sub>
            <m:r>
              <m:t>k</m:t>
            </m:r>
          </m:sub>
        </m:sSub>
      </m:oMath>
      <w:r>
        <w:t xml:space="preserve"> </w:t>
      </w:r>
      <w:r>
        <w:t xml:space="preserve">can be written as follows</w:t>
      </w:r>
    </w:p>
    <w:p>
      <w:pPr>
        <w:pStyle w:val="BodyText"/>
      </w:pPr>
      <m:oMathPara>
        <m:oMathParaPr>
          <m:jc m:val="center"/>
        </m:oMathParaPr>
        <m:oMath>
          <m:sSub>
            <m:e>
              <m:r>
                <m:t>C</m:t>
              </m:r>
            </m:e>
            <m:sub>
              <m:r>
                <m:t>k</m:t>
              </m:r>
            </m:sub>
          </m:sSub>
          <m:r>
            <m:rPr>
              <m:sty m:val="p"/>
            </m:rPr>
            <m:t>=</m:t>
          </m:r>
          <m:f>
            <m:fPr>
              <m:type m:val="bar"/>
            </m:fPr>
            <m:num>
              <m:r>
                <m:t>2</m:t>
              </m:r>
            </m:num>
            <m:den>
              <m:r>
                <m:t>n</m:t>
              </m:r>
              <m:sSub>
                <m:e>
                  <m:acc>
                    <m:accPr>
                      <m:chr m:val="‾"/>
                    </m:accPr>
                    <m:e>
                      <m:r>
                        <m:t>x</m:t>
                      </m:r>
                    </m:e>
                  </m:acc>
                </m:e>
                <m:sub>
                  <m:r>
                    <m:t>k</m:t>
                  </m:r>
                </m:sub>
              </m:sSub>
            </m:den>
          </m:f>
          <m:nary>
            <m:naryPr>
              <m:chr m:val="∑"/>
              <m:limLoc m:val="undOvr"/>
              <m:subHide m:val="off"/>
              <m:supHide m:val="off"/>
            </m:naryPr>
            <m:sub>
              <m:r>
                <m:t>i</m:t>
              </m:r>
              <m:r>
                <m:rPr>
                  <m:sty m:val="p"/>
                </m:rPr>
                <m:t>=</m:t>
              </m:r>
              <m:r>
                <m:t>1</m:t>
              </m:r>
            </m:sub>
            <m:sup>
              <m:r>
                <m:t>n</m:t>
              </m:r>
            </m:sup>
            <m:e>
              <m:sSub>
                <m:e>
                  <m:r>
                    <m:t>x</m:t>
                  </m:r>
                </m:e>
                <m:sub>
                  <m:r>
                    <m:t>k</m:t>
                  </m:r>
                  <m:r>
                    <m:t>i</m:t>
                  </m:r>
                </m:sub>
              </m:sSub>
            </m:e>
          </m:nary>
          <m:sSub>
            <m:e>
              <m:r>
                <m:t>R</m:t>
              </m:r>
            </m:e>
            <m:sub>
              <m:r>
                <m:t>i</m:t>
              </m:r>
            </m:sub>
          </m:sSub>
          <m:r>
            <m:rPr>
              <m:sty m:val="p"/>
            </m:rPr>
            <m:t>−</m:t>
          </m:r>
          <m:r>
            <m:t>1</m:t>
          </m:r>
          <m:r>
            <m:rPr>
              <m:sty m:val="p"/>
            </m:rPr>
            <m:t>.</m:t>
          </m:r>
        </m:oMath>
      </m:oMathPara>
    </w:p>
    <w:p>
      <w:pPr>
        <w:pStyle w:val="FirstParagraph"/>
      </w:pPr>
      <w:r>
        <w:t xml:space="preserve">where</w:t>
      </w:r>
      <w:r>
        <w:t xml:space="preserve"> </w:t>
      </w:r>
      <m:oMath>
        <m:sSub>
          <m:e>
            <m:r>
              <m:t>x</m:t>
            </m:r>
          </m:e>
          <m:sub>
            <m:r>
              <m:t>k</m:t>
            </m:r>
            <m:r>
              <m:t>i</m:t>
            </m:r>
          </m:sub>
        </m:sSub>
      </m:oMath>
      <w:r>
        <w:t xml:space="preserve"> </w:t>
      </w:r>
      <w:r>
        <w:t xml:space="preserve">is the value of determinant</w:t>
      </w:r>
      <w:r>
        <w:t xml:space="preserve"> </w:t>
      </w:r>
      <m:oMath>
        <m:sSub>
          <m:e>
            <m:r>
              <m:t>x</m:t>
            </m:r>
          </m:e>
          <m:sub>
            <m:r>
              <m:t>k</m:t>
            </m:r>
          </m:sub>
        </m:sSub>
      </m:oMath>
      <w:r>
        <w:t xml:space="preserve"> </w:t>
      </w:r>
      <w:r>
        <w:t xml:space="preserve">for the individual</w:t>
      </w:r>
      <w:r>
        <w:t xml:space="preserve"> </w:t>
      </w:r>
      <m:oMath>
        <m:r>
          <m:t>i</m:t>
        </m:r>
      </m:oMath>
      <w:r>
        <w:t xml:space="preserve">,</w:t>
      </w:r>
      <w:r>
        <w:t xml:space="preserve"> </w:t>
      </w:r>
      <m:oMath>
        <m:sSub>
          <m:e>
            <m:acc>
              <m:accPr>
                <m:chr m:val="‾"/>
              </m:accPr>
              <m:e>
                <m:r>
                  <m:t>x</m:t>
                </m:r>
              </m:e>
            </m:acc>
          </m:e>
          <m:sub>
            <m:r>
              <m:t>k</m:t>
            </m:r>
          </m:sub>
        </m:sSub>
      </m:oMath>
      <w:r>
        <w:t xml:space="preserve"> </w:t>
      </w:r>
      <w:r>
        <w:t xml:space="preserve">is the mean of determinant</w:t>
      </w:r>
      <w:r>
        <w:t xml:space="preserve"> </w:t>
      </w:r>
      <m:oMath>
        <m:sSub>
          <m:e>
            <m:r>
              <m:t>x</m:t>
            </m:r>
          </m:e>
          <m:sub>
            <m:r>
              <m:t>k</m:t>
            </m:r>
          </m:sub>
        </m:sSub>
      </m:oMath>
      <w:r>
        <w:t xml:space="preserve">, and</w:t>
      </w:r>
      <w:r>
        <w:t xml:space="preserve"> </w:t>
      </w:r>
      <m:oMath>
        <m:sSub>
          <m:e>
            <m:r>
              <m:t>R</m:t>
            </m:r>
          </m:e>
          <m:sub>
            <m:r>
              <m:t>i</m:t>
            </m:r>
          </m:sub>
        </m:sSub>
      </m:oMath>
      <w:r>
        <w:t xml:space="preserve"> </w:t>
      </w:r>
      <w:r>
        <w:t xml:space="preserve">is the fractional socioeconomic rank of individual</w:t>
      </w:r>
      <w:r>
        <w:t xml:space="preserve"> </w:t>
      </w:r>
      <m:oMath>
        <m:r>
          <m:t>i</m:t>
        </m:r>
      </m:oMath>
      <w:r>
        <w:t xml:space="preserve">.</w:t>
      </w:r>
    </w:p>
    <w:bookmarkEnd w:id="16"/>
    <w:bookmarkStart w:id="17" w:name="sec-percentage-contributions"/>
    <w:p>
      <w:pPr>
        <w:pStyle w:val="Heading3"/>
      </w:pPr>
      <w:r>
        <w:t xml:space="preserve">Percentage Contributions</w:t>
      </w:r>
    </w:p>
    <w:p>
      <w:pPr>
        <w:pStyle w:val="FirstParagraph"/>
      </w:pPr>
      <w:r>
        <w:t xml:space="preserve">In the concentration index results, the percentage contribution for each determinant is usually reported. For determinant</w:t>
      </w:r>
      <w:r>
        <w:t xml:space="preserve"> </w:t>
      </w:r>
      <m:oMath>
        <m:r>
          <m:t>k</m:t>
        </m:r>
      </m:oMath>
      <w:r>
        <w:t xml:space="preserve">, the total contribution is</w:t>
      </w:r>
    </w:p>
    <w:p>
      <w:pPr>
        <w:pStyle w:val="BodyText"/>
      </w:pPr>
      <m:oMathPara>
        <m:oMathParaPr>
          <m:jc m:val="center"/>
        </m:oMathParaPr>
        <m:oMath>
          <m:sSub>
            <m:e>
              <m:r>
                <m:rPr>
                  <m:nor/>
                  <m:sty m:val="p"/>
                </m:rPr>
                <m:t>AC</m:t>
              </m:r>
            </m:e>
            <m:sub>
              <m:r>
                <m:t>k</m:t>
              </m:r>
            </m:sub>
          </m:sSub>
          <m:r>
            <m:rPr>
              <m:sty m:val="p"/>
            </m:rPr>
            <m:t>=</m:t>
          </m:r>
          <m:d>
            <m:dPr>
              <m:begChr m:val="("/>
              <m:sepChr m:val=""/>
              <m:endChr m:val=")"/>
              <m:grow/>
            </m:dPr>
            <m:e>
              <m:f>
                <m:fPr>
                  <m:type m:val="bar"/>
                </m:fPr>
                <m:num>
                  <m:sSub>
                    <m:e>
                      <m:r>
                        <m:t>β</m:t>
                      </m:r>
                    </m:e>
                    <m:sub>
                      <m:r>
                        <m:t>k</m:t>
                      </m:r>
                    </m:sub>
                  </m:sSub>
                  <m:sSub>
                    <m:e>
                      <m:acc>
                        <m:accPr>
                          <m:chr m:val="‾"/>
                        </m:accPr>
                        <m:e>
                          <m:r>
                            <m:t>x</m:t>
                          </m:r>
                        </m:e>
                      </m:acc>
                    </m:e>
                    <m:sub>
                      <m:r>
                        <m:t>k</m:t>
                      </m:r>
                    </m:sub>
                  </m:sSub>
                </m:num>
                <m:den>
                  <m:r>
                    <m:t>μ</m:t>
                  </m:r>
                </m:den>
              </m:f>
            </m:e>
          </m:d>
          <m:sSub>
            <m:e>
              <m:r>
                <m:t>C</m:t>
              </m:r>
            </m:e>
            <m:sub>
              <m:r>
                <m:t>k</m:t>
              </m:r>
            </m:sub>
          </m:sSub>
          <m:r>
            <m:rPr>
              <m:sty m:val="p"/>
            </m:rPr>
            <m:t>.</m:t>
          </m:r>
        </m:oMath>
      </m:oMathPara>
    </w:p>
    <w:p>
      <w:pPr>
        <w:pStyle w:val="FirstParagraph"/>
      </w:pPr>
      <w:r>
        <w:t xml:space="preserve">The percentage contribution is</w:t>
      </w:r>
    </w:p>
    <w:p>
      <w:pPr>
        <w:pStyle w:val="BodyText"/>
      </w:pPr>
      <m:oMathPara>
        <m:oMathParaPr>
          <m:jc m:val="center"/>
        </m:oMathParaPr>
        <m:oMath>
          <m:sSub>
            <m:e>
              <m:r>
                <m:rPr>
                  <m:nor/>
                  <m:sty m:val="p"/>
                </m:rPr>
                <m:t>PC</m:t>
              </m:r>
            </m:e>
            <m:sub>
              <m:r>
                <m:t>k</m:t>
              </m:r>
            </m:sub>
          </m:sSub>
          <m:r>
            <m:rPr>
              <m:sty m:val="p"/>
            </m:rPr>
            <m:t>=</m:t>
          </m:r>
          <m:r>
            <m:t>100</m:t>
          </m:r>
          <m:r>
            <m:rPr>
              <m:sty m:val="p"/>
            </m:rPr>
            <m:t>×</m:t>
          </m:r>
          <m:f>
            <m:fPr>
              <m:type m:val="bar"/>
            </m:fPr>
            <m:num>
              <m:sSub>
                <m:e>
                  <m:r>
                    <m:rPr>
                      <m:nor/>
                      <m:sty m:val="p"/>
                    </m:rPr>
                    <m:t>AC</m:t>
                  </m:r>
                </m:e>
                <m:sub>
                  <m:r>
                    <m:t>k</m:t>
                  </m:r>
                </m:sub>
              </m:sSub>
            </m:num>
            <m:den>
              <m:r>
                <m:t>C</m:t>
              </m:r>
            </m:den>
          </m:f>
          <m:r>
            <m:rPr>
              <m:sty m:val="p"/>
            </m:rPr>
            <m:t>.</m:t>
          </m:r>
        </m:oMath>
      </m:oMathPara>
    </w:p>
    <w:p>
      <w:pPr>
        <w:pStyle w:val="FirstParagraph"/>
      </w:pPr>
      <w:r>
        <w:t xml:space="preserve">This is a signed share of total socioeconomic inequality. In our analysis of under-5 mortality, a positive value means that the determinant contributes in the same direction as the observed mortality inequality (reinforces the observed pattern). A negative value means that it offsets part of that inequality. A percentage can exceed 100 per cent when other determinants, or the residual term, contribute in the opposite direction.</w:t>
      </w:r>
    </w:p>
    <w:bookmarkEnd w:id="17"/>
    <w:bookmarkStart w:id="18" w:name="sec-ci-extensions"/>
    <w:p>
      <w:pPr>
        <w:pStyle w:val="Heading3"/>
      </w:pPr>
      <w:r>
        <w:t xml:space="preserve">Concentration Index Variants and a Level-Dependent Alternative</w:t>
      </w:r>
    </w:p>
    <w:p>
      <w:pPr>
        <w:pStyle w:val="FirstParagraph"/>
      </w:pPr>
      <w:r>
        <w:t xml:space="preserve">When the outcome is bounded, for instance, in our case, a binary outcome,</w:t>
      </w:r>
      <w:r>
        <w:t xml:space="preserve"> </w:t>
      </w:r>
      <w:r>
        <w:t xml:space="preserve">(</w:t>
      </w:r>
      <w:hyperlink w:anchor="ref-wagstaff2005bounds">
        <w:r>
          <w:rPr>
            <w:rStyle w:val="Hyperlink"/>
          </w:rPr>
          <w:t xml:space="preserve">Wagstaff, 2005</w:t>
        </w:r>
      </w:hyperlink>
      <w:r>
        <w:t xml:space="preserve">)</w:t>
      </w:r>
      <w:r>
        <w:t xml:space="preserve"> </w:t>
      </w:r>
      <w:r>
        <w:t xml:space="preserve">showed that the lower and upper bounds depend on the outcome’s mean, so the feasible range narrows as the mean increases. That means a change in the index can reflect not only changes in socioeconomic inequality but also changes in the average level of the outcome.</w:t>
      </w:r>
      <w:r>
        <w:t xml:space="preserve"> </w:t>
      </w:r>
      <w:r>
        <w:t xml:space="preserve">(</w:t>
      </w:r>
      <w:hyperlink w:anchor="ref-erreygers2009correcting">
        <w:r>
          <w:rPr>
            <w:rStyle w:val="Hyperlink"/>
          </w:rPr>
          <w:t xml:space="preserve">Erreygers, 2009</w:t>
        </w:r>
      </w:hyperlink>
      <w:r>
        <w:t xml:space="preserve">)</w:t>
      </w:r>
      <w:r>
        <w:t xml:space="preserve"> </w:t>
      </w:r>
      <w:r>
        <w:t xml:space="preserve">shows that this issue goes beyond the binary case. In general, once a health variable has a finite upper bound or a positive lower bound, the bounds of the concentration index vary with the mean. For this reason, several related measures have been introduced, rather than relying solely on the standard index. In this thesis, the rank-dependent measures are the standard concentration index (</w:t>
      </w:r>
      <m:oMath>
        <m:r>
          <m:t>C</m:t>
        </m:r>
        <m:r>
          <m:t>I</m:t>
        </m:r>
      </m:oMath>
      <w:r>
        <w:t xml:space="preserve">), the generalised concentration index (</w:t>
      </w:r>
      <m:oMath>
        <m:r>
          <m:t>C</m:t>
        </m:r>
        <m:r>
          <m:t>I</m:t>
        </m:r>
        <m:r>
          <m:t>g</m:t>
        </m:r>
      </m:oMath>
      <w:r>
        <w:t xml:space="preserve">), and the corrected concentration index for bounded outcomes (</w:t>
      </w:r>
      <m:oMath>
        <m:r>
          <m:t>C</m:t>
        </m:r>
        <m:r>
          <m:t>I</m:t>
        </m:r>
        <m:r>
          <m:t>c</m:t>
        </m:r>
      </m:oMath>
      <w:r>
        <w:t xml:space="preserve">). A level-dependent alternative, denoted</w:t>
      </w:r>
      <w:r>
        <w:t xml:space="preserve"> </w:t>
      </w:r>
      <m:oMath>
        <m:r>
          <m:t>L</m:t>
        </m:r>
      </m:oMath>
      <w:r>
        <w:t xml:space="preserve">, is also considered, which is important when a socioeconomic variable has a defensible level interpretation</w:t>
      </w:r>
      <w:r>
        <w:t xml:space="preserve"> </w:t>
      </w:r>
      <w:r>
        <w:t xml:space="preserve">(</w:t>
      </w:r>
      <w:hyperlink w:anchor="ref-erreygers2017socioeconomic">
        <w:r>
          <w:rPr>
            <w:rStyle w:val="Hyperlink"/>
          </w:rPr>
          <w:t xml:space="preserve">Erreygers and Kessels, 2017</w:t>
        </w:r>
      </w:hyperlink>
      <w:r>
        <w:t xml:space="preserve">)</w:t>
      </w:r>
      <w:r>
        <w:t xml:space="preserve">, for example, income.</w:t>
      </w:r>
    </w:p>
    <w:p>
      <w:pPr>
        <w:pStyle w:val="BodyText"/>
      </w:pPr>
      <w:r>
        <w:t xml:space="preserve">The standard concentration index is</w:t>
      </w:r>
    </w:p>
    <w:p>
      <w:pPr>
        <w:pStyle w:val="BodyText"/>
      </w:pPr>
      <m:oMathPara>
        <m:oMathParaPr>
          <m:jc m:val="center"/>
        </m:oMathParaPr>
        <m:oMath>
          <m:r>
            <m:t>C</m:t>
          </m:r>
          <m:sSub>
            <m:e>
              <m:r>
                <m:t>I</m:t>
              </m:r>
            </m:e>
            <m:sub>
              <m:r>
                <m:t>y</m:t>
              </m:r>
            </m:sub>
          </m:sSub>
          <m:r>
            <m:rPr>
              <m:sty m:val="p"/>
            </m:rPr>
            <m:t>=</m:t>
          </m:r>
          <m:f>
            <m:fPr>
              <m:type m:val="bar"/>
            </m:fPr>
            <m:num>
              <m:r>
                <m:t>2</m:t>
              </m:r>
            </m:num>
            <m:den>
              <m:sSub>
                <m:e>
                  <m:r>
                    <m:t>μ</m:t>
                  </m:r>
                </m:e>
                <m:sub>
                  <m:r>
                    <m:t>y</m:t>
                  </m:r>
                </m:sub>
              </m:sSub>
            </m:den>
          </m:f>
          <m:sSub>
            <m:e>
              <m:r>
                <m:rPr>
                  <m:sty m:val="p"/>
                </m:rPr>
                <m:t>cov</m:t>
              </m:r>
            </m:e>
            <m:sub>
              <m:r>
                <m:t>w</m:t>
              </m:r>
            </m:sub>
          </m:sSub>
          <m:r>
            <m:rPr>
              <m:sty m:val="p"/>
            </m:rPr>
            <m:t>(</m:t>
          </m:r>
          <m:sSub>
            <m:e>
              <m:r>
                <m:t>y</m:t>
              </m:r>
            </m:e>
            <m:sub>
              <m:r>
                <m:t>i</m:t>
              </m:r>
            </m:sub>
          </m:sSub>
          <m:r>
            <m:rPr>
              <m:sty m:val="p"/>
            </m:rPr>
            <m:t>,</m:t>
          </m:r>
          <m:sSub>
            <m:e>
              <m:r>
                <m:t>R</m:t>
              </m:r>
            </m:e>
            <m:sub>
              <m:r>
                <m:t>i</m:t>
              </m:r>
            </m:sub>
          </m:sSub>
          <m:r>
            <m:rPr>
              <m:sty m:val="p"/>
            </m:rPr>
            <m:t>)</m:t>
          </m:r>
          <m:r>
            <m:rPr>
              <m:sty m:val="p"/>
            </m:rPr>
            <m:t>,</m:t>
          </m:r>
        </m:oMath>
      </m:oMathPara>
    </w:p>
    <w:p>
      <w:pPr>
        <w:pStyle w:val="FirstParagraph"/>
      </w:pPr>
      <w:r>
        <w:t xml:space="preserve">where</w:t>
      </w:r>
      <w:r>
        <w:t xml:space="preserve"> </w:t>
      </w:r>
      <m:oMath>
        <m:sSub>
          <m:e>
            <m:r>
              <m:t>y</m:t>
            </m:r>
          </m:e>
          <m:sub>
            <m:r>
              <m:t>i</m:t>
            </m:r>
          </m:sub>
        </m:sSub>
      </m:oMath>
      <w:r>
        <w:t xml:space="preserve"> </w:t>
      </w:r>
      <w:r>
        <w:t xml:space="preserve">is the health outcome,</w:t>
      </w:r>
      <w:r>
        <w:t xml:space="preserve"> </w:t>
      </w:r>
      <m:oMath>
        <m:sSub>
          <m:e>
            <m:r>
              <m:t>R</m:t>
            </m:r>
          </m:e>
          <m:sub>
            <m:r>
              <m:t>i</m:t>
            </m:r>
          </m:sub>
        </m:sSub>
      </m:oMath>
      <w:r>
        <w:t xml:space="preserve"> </w:t>
      </w:r>
      <w:r>
        <w:t xml:space="preserve">is the fractional socioeconomic rank, and</w:t>
      </w:r>
      <w:r>
        <w:t xml:space="preserve"> </w:t>
      </w:r>
      <m:oMath>
        <m:sSub>
          <m:e>
            <m:r>
              <m:t>μ</m:t>
            </m:r>
          </m:e>
          <m:sub>
            <m:r>
              <m:t>y</m:t>
            </m:r>
          </m:sub>
        </m:sSub>
      </m:oMath>
      <w:r>
        <w:t xml:space="preserve"> </w:t>
      </w:r>
      <w:r>
        <w:t xml:space="preserve">is the mean of the outcome.</w:t>
      </w:r>
    </w:p>
    <w:p>
      <w:pPr>
        <w:pStyle w:val="BodyText"/>
      </w:pPr>
      <w:r>
        <w:t xml:space="preserve">The generalised concentration index is</w:t>
      </w:r>
    </w:p>
    <w:p>
      <w:pPr>
        <w:pStyle w:val="BodyText"/>
      </w:pPr>
      <m:oMathPara>
        <m:oMathParaPr>
          <m:jc m:val="center"/>
        </m:oMathParaPr>
        <m:oMath>
          <m:r>
            <m:t>C</m:t>
          </m:r>
          <m:r>
            <m:t>I</m:t>
          </m:r>
          <m:sSub>
            <m:e>
              <m:r>
                <m:t>g</m:t>
              </m:r>
            </m:e>
            <m:sub>
              <m:r>
                <m:t>y</m:t>
              </m:r>
            </m:sub>
          </m:sSub>
          <m:r>
            <m:rPr>
              <m:sty m:val="p"/>
            </m:rPr>
            <m:t>=</m:t>
          </m:r>
          <m:r>
            <m:t>2</m:t>
          </m:r>
          <m:sSub>
            <m:e>
              <m:r>
                <m:rPr>
                  <m:sty m:val="p"/>
                </m:rPr>
                <m:t>cov</m:t>
              </m:r>
            </m:e>
            <m:sub>
              <m:r>
                <m:t>w</m:t>
              </m:r>
            </m:sub>
          </m:sSub>
          <m:r>
            <m:rPr>
              <m:sty m:val="p"/>
            </m:rPr>
            <m:t>(</m:t>
          </m:r>
          <m:sSub>
            <m:e>
              <m:r>
                <m:t>y</m:t>
              </m:r>
            </m:e>
            <m:sub>
              <m:r>
                <m:t>i</m:t>
              </m:r>
            </m:sub>
          </m:sSub>
          <m:r>
            <m:rPr>
              <m:sty m:val="p"/>
            </m:rPr>
            <m:t>,</m:t>
          </m:r>
          <m:sSub>
            <m:e>
              <m:r>
                <m:t>R</m:t>
              </m:r>
            </m:e>
            <m:sub>
              <m:r>
                <m:t>i</m:t>
              </m:r>
            </m:sub>
          </m:sSub>
          <m:r>
            <m:rPr>
              <m:sty m:val="p"/>
            </m:rPr>
            <m:t>)</m:t>
          </m:r>
          <m:r>
            <m:rPr>
              <m:sty m:val="p"/>
            </m:rPr>
            <m:t>=</m:t>
          </m:r>
          <m:sSub>
            <m:e>
              <m:r>
                <m:t>μ</m:t>
              </m:r>
            </m:e>
            <m:sub>
              <m:r>
                <m:t>y</m:t>
              </m:r>
            </m:sub>
          </m:sSub>
          <m:r>
            <m:t>C</m:t>
          </m:r>
          <m:sSub>
            <m:e>
              <m:r>
                <m:t>I</m:t>
              </m:r>
            </m:e>
            <m:sub>
              <m:r>
                <m:t>y</m:t>
              </m:r>
            </m:sub>
          </m:sSub>
          <m:r>
            <m:rPr>
              <m:sty m:val="p"/>
            </m:rPr>
            <m:t>.</m:t>
          </m:r>
        </m:oMath>
      </m:oMathPara>
    </w:p>
    <w:p>
      <w:pPr>
        <w:pStyle w:val="FirstParagraph"/>
      </w:pPr>
      <w:r>
        <w:t xml:space="preserve">For bounded outcomes, the corrected concentration index takes the form.</w:t>
      </w:r>
    </w:p>
    <w:p>
      <w:pPr>
        <w:pStyle w:val="BodyText"/>
      </w:pPr>
      <m:oMathPara>
        <m:oMathParaPr>
          <m:jc m:val="center"/>
        </m:oMathParaPr>
        <m:oMath>
          <m:r>
            <m:t>C</m:t>
          </m:r>
          <m:r>
            <m:t>I</m:t>
          </m:r>
          <m:sSub>
            <m:e>
              <m:r>
                <m:t>c</m:t>
              </m:r>
            </m:e>
            <m:sub>
              <m:r>
                <m:t>y</m:t>
              </m:r>
            </m:sub>
          </m:sSub>
          <m:r>
            <m:rPr>
              <m:sty m:val="p"/>
            </m:rPr>
            <m:t>=</m:t>
          </m:r>
          <m:f>
            <m:fPr>
              <m:type m:val="bar"/>
            </m:fPr>
            <m:num>
              <m:r>
                <m:t>4</m:t>
              </m:r>
            </m:num>
            <m:den>
              <m:r>
                <m:t>b</m:t>
              </m:r>
              <m:r>
                <m:rPr>
                  <m:sty m:val="p"/>
                </m:rPr>
                <m:t>−</m:t>
              </m:r>
              <m:r>
                <m:t>a</m:t>
              </m:r>
            </m:den>
          </m:f>
          <m:r>
            <m:t>C</m:t>
          </m:r>
          <m:r>
            <m:t>I</m:t>
          </m:r>
          <m:sSub>
            <m:e>
              <m:r>
                <m:t>g</m:t>
              </m:r>
            </m:e>
            <m:sub>
              <m:r>
                <m:t>y</m:t>
              </m:r>
            </m:sub>
          </m:sSub>
          <m:r>
            <m:rPr>
              <m:sty m:val="p"/>
            </m:rPr>
            <m:t>=</m:t>
          </m:r>
          <m:f>
            <m:fPr>
              <m:type m:val="bar"/>
            </m:fPr>
            <m:num>
              <m:r>
                <m:t>8</m:t>
              </m:r>
            </m:num>
            <m:den>
              <m:r>
                <m:t>b</m:t>
              </m:r>
              <m:r>
                <m:rPr>
                  <m:sty m:val="p"/>
                </m:rPr>
                <m:t>−</m:t>
              </m:r>
              <m:r>
                <m:t>a</m:t>
              </m:r>
            </m:den>
          </m:f>
          <m:sSub>
            <m:e>
              <m:r>
                <m:rPr>
                  <m:sty m:val="p"/>
                </m:rPr>
                <m:t>cov</m:t>
              </m:r>
            </m:e>
            <m:sub>
              <m:r>
                <m:t>w</m:t>
              </m:r>
            </m:sub>
          </m:sSub>
          <m:r>
            <m:rPr>
              <m:sty m:val="p"/>
            </m:rPr>
            <m:t>(</m:t>
          </m:r>
          <m:sSub>
            <m:e>
              <m:r>
                <m:t>y</m:t>
              </m:r>
            </m:e>
            <m:sub>
              <m:r>
                <m:t>i</m:t>
              </m:r>
            </m:sub>
          </m:sSub>
          <m:r>
            <m:rPr>
              <m:sty m:val="p"/>
            </m:rPr>
            <m:t>,</m:t>
          </m:r>
          <m:sSub>
            <m:e>
              <m:r>
                <m:t>R</m:t>
              </m:r>
            </m:e>
            <m:sub>
              <m:r>
                <m:t>i</m:t>
              </m:r>
            </m:sub>
          </m:sSub>
          <m:r>
            <m:rPr>
              <m:sty m:val="p"/>
            </m:rPr>
            <m:t>)</m:t>
          </m:r>
          <m:r>
            <m:rPr>
              <m:sty m:val="p"/>
            </m:rPr>
            <m:t>,</m:t>
          </m:r>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the lower and upper bounds of the outcome. For a binary outcome, where</w:t>
      </w:r>
      <w:r>
        <w:t xml:space="preserve"> </w:t>
      </w:r>
      <m:oMath>
        <m:r>
          <m:t>a</m:t>
        </m:r>
        <m:r>
          <m:rPr>
            <m:sty m:val="p"/>
          </m:rPr>
          <m:t>=</m:t>
        </m:r>
        <m:r>
          <m:t>0</m:t>
        </m:r>
      </m:oMath>
      <w:r>
        <w:t xml:space="preserve"> </w:t>
      </w:r>
      <w:r>
        <w:t xml:space="preserve">and</w:t>
      </w:r>
      <w:r>
        <w:t xml:space="preserve"> </w:t>
      </w:r>
      <m:oMath>
        <m:r>
          <m:t>b</m:t>
        </m:r>
        <m:r>
          <m:rPr>
            <m:sty m:val="p"/>
          </m:rPr>
          <m:t>=</m:t>
        </m:r>
        <m:r>
          <m:t>1</m:t>
        </m:r>
      </m:oMath>
      <w:r>
        <w:t xml:space="preserve">, this reduces to</w:t>
      </w:r>
    </w:p>
    <w:p>
      <w:pPr>
        <w:pStyle w:val="BodyText"/>
      </w:pPr>
      <m:oMathPara>
        <m:oMathParaPr>
          <m:jc m:val="center"/>
        </m:oMathParaPr>
        <m:oMath>
          <m:r>
            <m:t>C</m:t>
          </m:r>
          <m:r>
            <m:t>I</m:t>
          </m:r>
          <m:sSub>
            <m:e>
              <m:r>
                <m:t>c</m:t>
              </m:r>
            </m:e>
            <m:sub>
              <m:r>
                <m:t>y</m:t>
              </m:r>
            </m:sub>
          </m:sSub>
          <m:r>
            <m:rPr>
              <m:sty m:val="p"/>
            </m:rPr>
            <m:t>=</m:t>
          </m:r>
          <m:r>
            <m:t>4</m:t>
          </m:r>
          <m:sSub>
            <m:e>
              <m:r>
                <m:t>μ</m:t>
              </m:r>
            </m:e>
            <m:sub>
              <m:r>
                <m:t>y</m:t>
              </m:r>
            </m:sub>
          </m:sSub>
          <m:r>
            <m:t>C</m:t>
          </m:r>
          <m:sSub>
            <m:e>
              <m:r>
                <m:t>I</m:t>
              </m:r>
            </m:e>
            <m:sub>
              <m:r>
                <m:t>y</m:t>
              </m:r>
            </m:sub>
          </m:sSub>
          <m:r>
            <m:rPr>
              <m:sty m:val="p"/>
            </m:rPr>
            <m:t>.</m:t>
          </m:r>
        </m:oMath>
      </m:oMathPara>
    </w:p>
    <w:p>
      <w:pPr>
        <w:pStyle w:val="FirstParagraph"/>
      </w:pPr>
      <w:r>
        <w:t xml:space="preserve">The level-dependent index</w:t>
      </w:r>
      <w:r>
        <w:t xml:space="preserve"> </w:t>
      </w:r>
      <m:oMath>
        <m:r>
          <m:t>L</m:t>
        </m:r>
      </m:oMath>
      <w:r>
        <w:t xml:space="preserve"> </w:t>
      </w:r>
      <w:r>
        <w:t xml:space="preserve">uses observed socioeconomic levels directly rather than converting them into ranks:</w:t>
      </w:r>
    </w:p>
    <w:p>
      <w:pPr>
        <w:pStyle w:val="BodyText"/>
      </w:pPr>
      <m:oMathPara>
        <m:oMathParaPr>
          <m:jc m:val="center"/>
        </m:oMathParaPr>
        <m:oMath>
          <m:sSub>
            <m:e>
              <m:r>
                <m:t>L</m:t>
              </m:r>
            </m:e>
            <m:sub>
              <m:r>
                <m:t>y</m:t>
              </m:r>
            </m:sub>
          </m:sSub>
          <m:r>
            <m:rPr>
              <m:sty m:val="p"/>
            </m:rPr>
            <m:t>=</m:t>
          </m:r>
          <m:nary>
            <m:naryPr>
              <m:chr m:val="∑"/>
              <m:limLoc m:val="undOvr"/>
              <m:subHide m:val="off"/>
              <m:supHide m:val="off"/>
            </m:naryPr>
            <m:sub>
              <m:r>
                <m:t>i</m:t>
              </m:r>
              <m:r>
                <m:rPr>
                  <m:sty m:val="p"/>
                </m:rPr>
                <m:t>=</m:t>
              </m:r>
              <m:r>
                <m:t>1</m:t>
              </m:r>
            </m:sub>
            <m:sup>
              <m:r>
                <m:t>n</m:t>
              </m:r>
            </m:sup>
            <m:e>
              <m:sSub>
                <m:e>
                  <m:r>
                    <m:t>p</m:t>
                  </m:r>
                </m:e>
                <m:sub>
                  <m:r>
                    <m:t>i</m:t>
                  </m:r>
                </m:sub>
              </m:sSub>
            </m:e>
          </m:nary>
          <m:d>
            <m:dPr>
              <m:begChr m:val="("/>
              <m:sepChr m:val=""/>
              <m:endChr m:val=")"/>
              <m:grow/>
            </m:dPr>
            <m:e>
              <m:f>
                <m:fPr>
                  <m:type m:val="bar"/>
                </m:fPr>
                <m:num>
                  <m:sSub>
                    <m:e>
                      <m:r>
                        <m:t>s</m:t>
                      </m:r>
                    </m:e>
                    <m:sub>
                      <m:r>
                        <m:t>i</m:t>
                      </m:r>
                    </m:sub>
                  </m:sSub>
                  <m:r>
                    <m:rPr>
                      <m:sty m:val="p"/>
                    </m:rPr>
                    <m:t>−</m:t>
                  </m:r>
                  <m:sSub>
                    <m:e>
                      <m:r>
                        <m:t>μ</m:t>
                      </m:r>
                    </m:e>
                    <m:sub>
                      <m:r>
                        <m:t>s</m:t>
                      </m:r>
                    </m:sub>
                  </m:sSub>
                </m:num>
                <m:den>
                  <m:sSub>
                    <m:e>
                      <m:r>
                        <m:t>μ</m:t>
                      </m:r>
                    </m:e>
                    <m:sub>
                      <m:r>
                        <m:t>s</m:t>
                      </m:r>
                    </m:sub>
                  </m:sSub>
                </m:den>
              </m:f>
            </m:e>
          </m:d>
          <m:sSub>
            <m:e>
              <m:r>
                <m:t>y</m:t>
              </m:r>
            </m:e>
            <m:sub>
              <m:r>
                <m:t>i</m:t>
              </m:r>
            </m:sub>
          </m:sSub>
          <m:r>
            <m:rPr>
              <m:sty m:val="p"/>
            </m:rPr>
            <m:t>,</m:t>
          </m:r>
          <m:r>
            <m:t>  </m:t>
          </m:r>
          <m:sSub>
            <m:e>
              <m:r>
                <m:t>p</m:t>
              </m:r>
            </m:e>
            <m:sub>
              <m:r>
                <m:t>i</m:t>
              </m:r>
            </m:sub>
          </m:sSub>
          <m:r>
            <m:rPr>
              <m:sty m:val="p"/>
            </m:rPr>
            <m:t>=</m:t>
          </m:r>
          <m:f>
            <m:fPr>
              <m:type m:val="bar"/>
            </m:fPr>
            <m:num>
              <m:sSub>
                <m:e>
                  <m:r>
                    <m:t>w</m:t>
                  </m:r>
                </m:e>
                <m:sub>
                  <m:r>
                    <m:t>i</m:t>
                  </m:r>
                </m:sub>
              </m:sSub>
            </m:num>
            <m:den>
              <m:nary>
                <m:naryPr>
                  <m:chr m:val="∑"/>
                  <m:limLoc m:val="undOvr"/>
                  <m:subHide m:val="off"/>
                  <m:supHide m:val="off"/>
                </m:naryPr>
                <m:sub>
                  <m:r>
                    <m:t>j</m:t>
                  </m:r>
                  <m:r>
                    <m:rPr>
                      <m:sty m:val="p"/>
                    </m:rPr>
                    <m:t>=</m:t>
                  </m:r>
                  <m:r>
                    <m:t>1</m:t>
                  </m:r>
                </m:sub>
                <m:sup>
                  <m:r>
                    <m:t>n</m:t>
                  </m:r>
                </m:sup>
                <m:e>
                  <m:sSub>
                    <m:e>
                      <m:r>
                        <m:t>w</m:t>
                      </m:r>
                    </m:e>
                    <m:sub>
                      <m:r>
                        <m:t>j</m:t>
                      </m:r>
                    </m:sub>
                  </m:sSub>
                </m:e>
              </m:nary>
            </m:den>
          </m:f>
          <m:r>
            <m:rPr>
              <m:sty m:val="p"/>
            </m:rPr>
            <m:t>,</m:t>
          </m:r>
          <m:r>
            <m:t>  </m:t>
          </m:r>
          <m:sSub>
            <m:e>
              <m:r>
                <m:t>μ</m:t>
              </m:r>
            </m:e>
            <m:sub>
              <m:r>
                <m:t>s</m:t>
              </m:r>
            </m:sub>
          </m:sSub>
          <m:r>
            <m:rPr>
              <m:sty m:val="p"/>
            </m:rPr>
            <m:t>=</m:t>
          </m:r>
          <m:nary>
            <m:naryPr>
              <m:chr m:val="∑"/>
              <m:limLoc m:val="undOvr"/>
              <m:subHide m:val="off"/>
              <m:supHide m:val="off"/>
            </m:naryPr>
            <m:sub>
              <m:r>
                <m:t>i</m:t>
              </m:r>
              <m:r>
                <m:rPr>
                  <m:sty m:val="p"/>
                </m:rPr>
                <m:t>=</m:t>
              </m:r>
              <m:r>
                <m:t>1</m:t>
              </m:r>
            </m:sub>
            <m:sup>
              <m:r>
                <m:t>n</m:t>
              </m:r>
            </m:sup>
            <m:e>
              <m:sSub>
                <m:e>
                  <m:r>
                    <m:t>p</m:t>
                  </m:r>
                </m:e>
                <m:sub>
                  <m:r>
                    <m:t>i</m:t>
                  </m:r>
                </m:sub>
              </m:sSub>
            </m:e>
          </m:nary>
          <m:sSub>
            <m:e>
              <m:r>
                <m:t>s</m:t>
              </m:r>
            </m:e>
            <m:sub>
              <m:r>
                <m:t>i</m:t>
              </m:r>
            </m:sub>
          </m:sSub>
          <m:r>
            <m:rPr>
              <m:sty m:val="p"/>
            </m:rPr>
            <m:t>.</m:t>
          </m:r>
        </m:oMath>
      </m:oMathPara>
    </w:p>
    <w:p>
      <w:pPr>
        <w:pStyle w:val="FirstParagraph"/>
      </w:pPr>
      <m:oMath>
        <m:sSub>
          <m:e>
            <m:r>
              <m:t>s</m:t>
            </m:r>
          </m:e>
          <m:sub>
            <m:r>
              <m:t>i</m:t>
            </m:r>
          </m:sub>
        </m:sSub>
      </m:oMath>
      <w:r>
        <w:t xml:space="preserve"> </w:t>
      </w:r>
      <w:r>
        <w:t xml:space="preserve">is the observed socioeconomic level,</w:t>
      </w:r>
      <w:r>
        <w:t xml:space="preserve"> </w:t>
      </w:r>
      <m:oMath>
        <m:sSub>
          <m:e>
            <m:r>
              <m:t>y</m:t>
            </m:r>
          </m:e>
          <m:sub>
            <m:r>
              <m:t>i</m:t>
            </m:r>
          </m:sub>
        </m:sSub>
      </m:oMath>
      <w:r>
        <w:t xml:space="preserve"> </w:t>
      </w:r>
      <w:r>
        <w:t xml:space="preserve">is the health outcome, and</w:t>
      </w:r>
      <w:r>
        <w:t xml:space="preserve"> </w:t>
      </w:r>
      <m:oMath>
        <m:sSub>
          <m:e>
            <m:r>
              <m:t>w</m:t>
            </m:r>
          </m:e>
          <m:sub>
            <m:r>
              <m:t>i</m:t>
            </m:r>
          </m:sub>
        </m:sSub>
      </m:oMath>
      <w:r>
        <w:t xml:space="preserve"> </w:t>
      </w:r>
      <w:r>
        <w:t xml:space="preserve">is the case weight. Unlike</w:t>
      </w:r>
      <w:r>
        <w:t xml:space="preserve"> </w:t>
      </w:r>
      <m:oMath>
        <m:r>
          <m:t>C</m:t>
        </m:r>
        <m:r>
          <m:t>I</m:t>
        </m:r>
      </m:oMath>
      <w:r>
        <w:t xml:space="preserve">,</w:t>
      </w:r>
      <w:r>
        <w:t xml:space="preserve"> </w:t>
      </w:r>
      <m:oMath>
        <m:r>
          <m:t>C</m:t>
        </m:r>
        <m:r>
          <m:t>I</m:t>
        </m:r>
        <m:r>
          <m:t>g</m:t>
        </m:r>
      </m:oMath>
      <w:r>
        <w:t xml:space="preserve">, and</w:t>
      </w:r>
      <w:r>
        <w:t xml:space="preserve"> </w:t>
      </w:r>
      <m:oMath>
        <m:r>
          <m:t>C</m:t>
        </m:r>
        <m:r>
          <m:t>I</m:t>
        </m:r>
        <m:r>
          <m:t>c</m:t>
        </m:r>
      </m:oMath>
      <w:r>
        <w:t xml:space="preserve">, the</w:t>
      </w:r>
      <w:r>
        <w:t xml:space="preserve"> </w:t>
      </w:r>
      <m:oMath>
        <m:r>
          <m:t>L</m:t>
        </m:r>
      </m:oMath>
      <w:r>
        <w:t xml:space="preserve"> </w:t>
      </w:r>
      <w:r>
        <w:t xml:space="preserve">index does not replace</w:t>
      </w:r>
      <w:r>
        <w:t xml:space="preserve"> </w:t>
      </w:r>
      <m:oMath>
        <m:sSub>
          <m:e>
            <m:r>
              <m:t>s</m:t>
            </m:r>
          </m:e>
          <m:sub>
            <m:r>
              <m:t>i</m:t>
            </m:r>
          </m:sub>
        </m:sSub>
      </m:oMath>
      <w:r>
        <w:t xml:space="preserve"> </w:t>
      </w:r>
      <w:r>
        <w:t xml:space="preserve">with a fractional rank.</w:t>
      </w:r>
    </w:p>
    <w:p>
      <w:pPr>
        <w:pStyle w:val="BodyText"/>
      </w:pPr>
      <w:r>
        <w:t xml:space="preserve">The DHS wealth variable used in this thesis is the continuous wealth-index factor score,</w:t>
      </w:r>
      <w:r>
        <w:t xml:space="preserve"> </w:t>
      </w:r>
      <m:oMath>
        <m:r>
          <m:t>v</m:t>
        </m:r>
        <m:r>
          <m:t>191</m:t>
        </m:r>
      </m:oMath>
      <w:r>
        <w:t xml:space="preserve">. It is not observed income, consumption, or expenditure, but a PCA-derived composite measure of household living standard based on asset ownership, housing materials, water access, sanitation facilities, and related household amenities</w:t>
      </w:r>
      <w:r>
        <w:t xml:space="preserve"> </w:t>
      </w:r>
      <w:r>
        <w:t xml:space="preserve">(</w:t>
      </w:r>
      <w:hyperlink w:anchor="ref-dhsprogram_wealth_index_construction">
        <w:r>
          <w:rPr>
            <w:rStyle w:val="Hyperlink"/>
          </w:rPr>
          <w:t xml:space="preserve">The DHS Program, 2007</w:t>
        </w:r>
      </w:hyperlink>
      <w:r>
        <w:t xml:space="preserve">)</w:t>
      </w:r>
      <w:r>
        <w:t xml:space="preserve">. For the</w:t>
      </w:r>
      <w:r>
        <w:t xml:space="preserve"> </w:t>
      </w:r>
      <m:oMath>
        <m:r>
          <m:t>L</m:t>
        </m:r>
      </m:oMath>
      <w:r>
        <w:t xml:space="preserve"> </w:t>
      </w:r>
      <w:r>
        <w:t xml:space="preserve">index</w:t>
      </w:r>
      <w:r>
        <w:t xml:space="preserve"> </w:t>
      </w:r>
      <w:r>
        <w:t xml:space="preserve">(</w:t>
      </w:r>
      <w:hyperlink w:anchor="ref-erreygers2017socioeconomic">
        <w:r>
          <w:rPr>
            <w:rStyle w:val="Hyperlink"/>
          </w:rPr>
          <w:t xml:space="preserve">Erreygers and Kessels, 2017</w:t>
        </w:r>
      </w:hyperlink>
      <w:r>
        <w:t xml:space="preserve">)</w:t>
      </w:r>
      <w:r>
        <w:t xml:space="preserve">, state that the level-dependent construction is acceptable only when the socioeconomic variable has ratio-scale properties; since the wealth index is a PCA score rather than income or consumption, results based on</w:t>
      </w:r>
      <w:r>
        <w:t xml:space="preserve"> </w:t>
      </w:r>
      <m:oMath>
        <m:r>
          <m:t>L</m:t>
        </m:r>
      </m:oMath>
      <w:r>
        <w:t xml:space="preserve"> </w:t>
      </w:r>
      <w:r>
        <w:t xml:space="preserve">should therefore be interpreted with caution. When the concentration indeces are used as impurity measures, the tree may not form the same subgroups under all concentration indices. A split chosen under</w:t>
      </w:r>
      <w:r>
        <w:t xml:space="preserve"> </w:t>
      </w:r>
      <m:oMath>
        <m:r>
          <m:t>C</m:t>
        </m:r>
        <m:r>
          <m:t>I</m:t>
        </m:r>
      </m:oMath>
      <w:r>
        <w:t xml:space="preserve"> </w:t>
      </w:r>
      <w:r>
        <w:t xml:space="preserve">may differ from one chosen under</w:t>
      </w:r>
      <w:r>
        <w:t xml:space="preserve"> </w:t>
      </w:r>
      <m:oMath>
        <m:r>
          <m:t>C</m:t>
        </m:r>
        <m:r>
          <m:t>I</m:t>
        </m:r>
        <m:r>
          <m:t>g</m:t>
        </m:r>
      </m:oMath>
      <w:r>
        <w:t xml:space="preserve">,</w:t>
      </w:r>
      <w:r>
        <w:t xml:space="preserve"> </w:t>
      </w:r>
      <m:oMath>
        <m:r>
          <m:t>C</m:t>
        </m:r>
        <m:r>
          <m:t>I</m:t>
        </m:r>
        <m:r>
          <m:t>c</m:t>
        </m:r>
      </m:oMath>
      <w:r>
        <w:t xml:space="preserve">, or</w:t>
      </w:r>
      <w:r>
        <w:t xml:space="preserve"> </w:t>
      </w:r>
      <m:oMath>
        <m:r>
          <m:t>L</m:t>
        </m:r>
      </m:oMath>
      <w:r>
        <w:t xml:space="preserve">, because each index defines inequality in a slightly different way.</w:t>
      </w:r>
    </w:p>
    <w:bookmarkEnd w:id="18"/>
    <w:bookmarkStart w:id="19" w:name="sec-linear-framework-limits"/>
    <w:p>
      <w:pPr>
        <w:pStyle w:val="Heading3"/>
      </w:pPr>
      <w:r>
        <w:t xml:space="preserve">Limits of the Linear Framework</w:t>
      </w:r>
    </w:p>
    <w:p>
      <w:pPr>
        <w:pStyle w:val="FirstParagraph"/>
      </w:pPr>
      <w:r>
        <w:t xml:space="preserve">The standard decomposition uses a generalised linear model,</w:t>
      </w:r>
      <w:r>
        <w:t xml:space="preserve"> </w:t>
      </w:r>
      <m:oMath>
        <m:sSub>
          <m:e>
            <m:r>
              <m:t>y</m:t>
            </m:r>
          </m:e>
          <m:sub>
            <m:r>
              <m:t>i</m:t>
            </m:r>
          </m:sub>
        </m:sSub>
        <m:r>
          <m:rPr>
            <m:sty m:val="p"/>
          </m:rPr>
          <m:t>=</m:t>
        </m:r>
        <m:sSub>
          <m:e>
            <m:r>
              <m:t>β</m:t>
            </m:r>
          </m:e>
          <m:sub>
            <m:r>
              <m:t>0</m:t>
            </m:r>
          </m:sub>
        </m:sSub>
        <m:r>
          <m:rPr>
            <m:sty m:val="p"/>
          </m:rPr>
          <m:t>+</m:t>
        </m:r>
        <m:nary>
          <m:naryPr>
            <m:chr m:val="∑"/>
            <m:limLoc m:val="undOvr"/>
            <m:subHide m:val="off"/>
            <m:supHide m:val="on"/>
          </m:naryPr>
          <m:sub>
            <m:r>
              <m:t>k</m:t>
            </m:r>
          </m:sub>
          <m:sup>
            <m:r>
              <m:t>​</m:t>
            </m:r>
          </m:sup>
          <m:e>
            <m:sSub>
              <m:e>
                <m:r>
                  <m:t>β</m:t>
                </m:r>
              </m:e>
              <m:sub>
                <m:r>
                  <m:t>k</m:t>
                </m:r>
              </m:sub>
            </m:sSub>
          </m:e>
        </m:nary>
        <m:sSub>
          <m:e>
            <m:r>
              <m:t>x</m:t>
            </m:r>
          </m:e>
          <m:sub>
            <m:r>
              <m:t>k</m:t>
            </m:r>
            <m:r>
              <m:t>i</m:t>
            </m:r>
          </m:sub>
        </m:sSub>
        <m:r>
          <m:rPr>
            <m:sty m:val="p"/>
          </m:rPr>
          <m:t>+</m:t>
        </m:r>
        <m:sSub>
          <m:e>
            <m:r>
              <m:t>ε</m:t>
            </m:r>
          </m:e>
          <m:sub>
            <m:r>
              <m:t>i</m:t>
            </m:r>
          </m:sub>
        </m:sSub>
      </m:oMath>
      <w:r>
        <w:t xml:space="preserve">, where</w:t>
      </w:r>
      <w:r>
        <w:t xml:space="preserve"> </w:t>
      </w:r>
      <m:oMath>
        <m:sSub>
          <m:e>
            <m:r>
              <m:t>β</m:t>
            </m:r>
          </m:e>
          <m:sub>
            <m:r>
              <m:t>0</m:t>
            </m:r>
          </m:sub>
        </m:sSub>
      </m:oMath>
      <w:r>
        <w:t xml:space="preserve"> </w:t>
      </w:r>
      <w:r>
        <w:t xml:space="preserve">is the intercept,</w:t>
      </w:r>
      <w:r>
        <w:t xml:space="preserve"> </w:t>
      </w:r>
      <m:oMath>
        <m:sSub>
          <m:e>
            <m:r>
              <m:t>β</m:t>
            </m:r>
          </m:e>
          <m:sub>
            <m:r>
              <m:t>k</m:t>
            </m:r>
          </m:sub>
        </m:sSub>
      </m:oMath>
      <w:r>
        <w:t xml:space="preserve"> </w:t>
      </w:r>
      <w:r>
        <w:t xml:space="preserve">is the coefficient associated with determinant</w:t>
      </w:r>
      <w:r>
        <w:t xml:space="preserve"> </w:t>
      </w:r>
      <m:oMath>
        <m:sSub>
          <m:e>
            <m:r>
              <m:t>x</m:t>
            </m:r>
          </m:e>
          <m:sub>
            <m:r>
              <m:t>k</m:t>
            </m:r>
          </m:sub>
        </m:sSub>
      </m:oMath>
      <w:r>
        <w:t xml:space="preserve">,</w:t>
      </w:r>
      <w:r>
        <w:t xml:space="preserve"> </w:t>
      </w:r>
      <m:oMath>
        <m:sSub>
          <m:e>
            <m:r>
              <m:t>x</m:t>
            </m:r>
          </m:e>
          <m:sub>
            <m:r>
              <m:t>k</m:t>
            </m:r>
            <m:r>
              <m:t>i</m:t>
            </m:r>
          </m:sub>
        </m:sSub>
      </m:oMath>
      <w:r>
        <w:t xml:space="preserve"> </w:t>
      </w:r>
      <w:r>
        <w:t xml:space="preserve">is the value of determinant</w:t>
      </w:r>
      <w:r>
        <w:t xml:space="preserve"> </w:t>
      </w:r>
      <m:oMath>
        <m:r>
          <m:t>k</m:t>
        </m:r>
      </m:oMath>
      <w:r>
        <w:t xml:space="preserve"> </w:t>
      </w:r>
      <w:r>
        <w:t xml:space="preserve">for individual</w:t>
      </w:r>
      <w:r>
        <w:t xml:space="preserve"> </w:t>
      </w:r>
      <m:oMath>
        <m:r>
          <m:t>i</m:t>
        </m:r>
      </m:oMath>
      <w:r>
        <w:t xml:space="preserve">, and</w:t>
      </w:r>
      <w:r>
        <w:t xml:space="preserve"> </w:t>
      </w:r>
      <m:oMath>
        <m:sSub>
          <m:e>
            <m:r>
              <m:t>ε</m:t>
            </m:r>
          </m:e>
          <m:sub>
            <m:r>
              <m:t>i</m:t>
            </m:r>
          </m:sub>
        </m:sSub>
      </m:oMath>
      <w:r>
        <w:t xml:space="preserve"> </w:t>
      </w:r>
      <w:r>
        <w:t xml:space="preserve">is the error term.</w:t>
      </w:r>
    </w:p>
    <w:p>
      <w:pPr>
        <w:pStyle w:val="BodyText"/>
      </w:pPr>
      <w:r>
        <w:t xml:space="preserve">In the regression-based decomposition framework, each determinant contributes through a fitted regression coefficient</w:t>
      </w:r>
      <w:r>
        <w:t xml:space="preserve"> </w:t>
      </w:r>
      <w:r>
        <w:t xml:space="preserve">(</w:t>
      </w:r>
      <w:hyperlink w:anchor="ref-wagstaff2003decomposing">
        <w:r>
          <w:rPr>
            <w:rStyle w:val="Hyperlink"/>
          </w:rPr>
          <w:t xml:space="preserve">Wagstaff, van Doorslaer and Watanabe</w:t>
        </w:r>
        <w:r>
          <w:rPr>
            <w:rStyle w:val="Hyperlink"/>
          </w:rPr>
          <w:t xml:space="preserve">, 2003</w:t>
        </w:r>
      </w:hyperlink>
      <w:r>
        <w:t xml:space="preserve">;</w:t>
      </w:r>
      <w:r>
        <w:t xml:space="preserve"> </w:t>
      </w:r>
      <w:hyperlink w:anchor="ref-speybroeck2010decomposing">
        <w:r>
          <w:rPr>
            <w:rStyle w:val="Hyperlink"/>
          </w:rPr>
          <w:t xml:space="preserve">Speybroeck</w:t>
        </w:r>
        <w:r>
          <w:rPr>
            <w:rStyle w:val="Hyperlink"/>
          </w:rPr>
          <w:t xml:space="preserve"> </w:t>
        </w:r>
        <w:r>
          <w:rPr>
            <w:rStyle w:val="Hyperlink"/>
            <w:i/>
            <w:iCs/>
          </w:rPr>
          <w:t xml:space="preserve">et al.</w:t>
        </w:r>
        <w:r>
          <w:rPr>
            <w:rStyle w:val="Hyperlink"/>
          </w:rPr>
          <w:t xml:space="preserve">, 2010</w:t>
        </w:r>
      </w:hyperlink>
      <w:r>
        <w:t xml:space="preserve">)</w:t>
      </w:r>
      <w:r>
        <w:t xml:space="preserve">. This makes the decomposition clear, because the contribution of each variable can be written as part of an additive summary. The limitation is that the coefficient is an estimated conditional average effect over the population. The effect of a determinant may differ by household conditions, province, maternal background, or access to services. Some effects may also appear only after a threshold is crossed. This is why this thesis next turns to tree-based methods, which can represent thresholds and interactions more directly without specifying this before fitting a model.</w:t>
      </w:r>
    </w:p>
    <w:bookmarkEnd w:id="19"/>
    <w:bookmarkEnd w:id="20"/>
    <w:bookmarkStart w:id="36" w:name="sec-tree-based-models"/>
    <w:p>
      <w:pPr>
        <w:pStyle w:val="Heading2"/>
      </w:pPr>
      <w:r>
        <w:t xml:space="preserve">Tree-Based Models for Inequality Analysis</w:t>
      </w:r>
    </w:p>
    <w:bookmarkStart w:id="25" w:name="Xc9c62b60f4dc9ae46f5ca028a5b3a46c4dcb141"/>
    <w:p>
      <w:pPr>
        <w:pStyle w:val="Heading3"/>
      </w:pPr>
      <w:r>
        <w:t xml:space="preserve">Recursive Partitioning and Decision Trees</w:t>
      </w:r>
    </w:p>
    <w:p>
      <w:pPr>
        <w:pStyle w:val="FirstParagraph"/>
      </w:pPr>
      <w:r>
        <w:t xml:space="preserve">A decision tree does not fit a single global equation to all observations per determinant. It divides the data into subgroups using a sequence of rules based on the predictors</w:t>
      </w:r>
      <w:r>
        <w:t xml:space="preserve"> </w:t>
      </w:r>
      <w:r>
        <w:t xml:space="preserve">(</w:t>
      </w:r>
      <w:hyperlink w:anchor="ref-hastie2009elements">
        <w:r>
          <w:rPr>
            <w:rStyle w:val="Hyperlink"/>
          </w:rPr>
          <w:t xml:space="preserve">Hastie, Tibshirani and Friedman, 2017</w:t>
        </w:r>
      </w:hyperlink>
      <w:r>
        <w:t xml:space="preserve">)</w:t>
      </w:r>
      <w:r>
        <w:t xml:space="preserve">. Each path through the tree leads to a terminal node, or leaf, which represents a subgroup of observations with similar values on the variables used for splitting.</w:t>
      </w:r>
    </w:p>
    <w:p>
      <w:pPr>
        <w:pStyle w:val="BodyText"/>
      </w:pPr>
      <w:r>
        <w:t xml:space="preserve">In a regression tree, the fitted value for a leaf is the mean outcome in that subgroup. In a classification tree, it is usually a class label or an estimated class probability. The model is therefore piecewise: it gives different summaries for different parts of the covariate space. If the terminal regions are denoted by</w:t>
      </w:r>
      <w:r>
        <w:t xml:space="preserve"> </w:t>
      </w:r>
      <m:oMath>
        <m:sSub>
          <m:e>
            <m:r>
              <m:t>R</m:t>
            </m:r>
          </m:e>
          <m:sub>
            <m:r>
              <m:t>1</m:t>
            </m:r>
          </m:sub>
        </m:sSub>
        <m:r>
          <m:rPr>
            <m:sty m:val="p"/>
          </m:rPr>
          <m:t>,</m:t>
        </m:r>
        <m:r>
          <m:rPr>
            <m:sty m:val="p"/>
          </m:rPr>
          <m:t>…</m:t>
        </m:r>
        <m:r>
          <m:rPr>
            <m:sty m:val="p"/>
          </m:rPr>
          <m:t>,</m:t>
        </m:r>
        <m:sSub>
          <m:e>
            <m:r>
              <m:t>R</m:t>
            </m:r>
          </m:e>
          <m:sub>
            <m:r>
              <m:t>M</m:t>
            </m:r>
          </m:sub>
        </m:sSub>
      </m:oMath>
      <w:r>
        <w:t xml:space="preserve">, the fitted regression tree can be written as</w:t>
      </w:r>
    </w:p>
    <w:p>
      <w:pPr>
        <w:pStyle w:val="BodyText"/>
      </w:pPr>
      <m:oMathPara>
        <m:oMathParaPr>
          <m:jc m:val="center"/>
        </m:oMathParaPr>
        <m:oMath>
          <m:acc>
            <m:accPr>
              <m:chr m:val="̂"/>
            </m:accPr>
            <m:e>
              <m:r>
                <m:t>f</m:t>
              </m:r>
            </m:e>
          </m:acc>
          <m:r>
            <m:rPr>
              <m:sty m:val="p"/>
            </m:rPr>
            <m:t>(</m:t>
          </m:r>
          <m:r>
            <m:t>x</m:t>
          </m:r>
          <m:r>
            <m:rPr>
              <m:sty m:val="p"/>
            </m:rPr>
            <m:t>)</m:t>
          </m:r>
          <m:r>
            <m:rPr>
              <m:sty m:val="p"/>
            </m:rPr>
            <m:t>=</m:t>
          </m:r>
          <m:nary>
            <m:naryPr>
              <m:chr m:val="∑"/>
              <m:limLoc m:val="undOvr"/>
              <m:subHide m:val="off"/>
              <m:supHide m:val="off"/>
            </m:naryPr>
            <m:sub>
              <m:r>
                <m:t>m</m:t>
              </m:r>
              <m:r>
                <m:rPr>
                  <m:sty m:val="p"/>
                </m:rPr>
                <m:t>=</m:t>
              </m:r>
              <m:r>
                <m:t>1</m:t>
              </m:r>
            </m:sub>
            <m:sup>
              <m:r>
                <m:t>M</m:t>
              </m:r>
            </m:sup>
            <m:e>
              <m:sSub>
                <m:e>
                  <m:r>
                    <m:t>c</m:t>
                  </m:r>
                </m:e>
                <m:sub>
                  <m:r>
                    <m:t>m</m:t>
                  </m:r>
                </m:sub>
              </m:sSub>
            </m:e>
          </m:nary>
          <m:r>
            <m:t>I</m:t>
          </m:r>
          <m:r>
            <m:rPr>
              <m:sty m:val="p"/>
            </m:rPr>
            <m:t>(</m:t>
          </m:r>
          <m:r>
            <m:t>x</m:t>
          </m:r>
          <m:r>
            <m:rPr>
              <m:sty m:val="p"/>
            </m:rPr>
            <m:t>∈</m:t>
          </m:r>
          <m:sSub>
            <m:e>
              <m:r>
                <m:t>R</m:t>
              </m:r>
            </m:e>
            <m:sub>
              <m:r>
                <m:t>m</m:t>
              </m:r>
            </m:sub>
          </m:sSub>
          <m:r>
            <m:rPr>
              <m:sty m:val="p"/>
            </m:rPr>
            <m:t>)</m:t>
          </m:r>
          <m:r>
            <m:rPr>
              <m:sty m:val="p"/>
            </m:rPr>
            <m:t>,</m:t>
          </m:r>
        </m:oMath>
      </m:oMathPara>
    </w:p>
    <w:p>
      <w:pPr>
        <w:pStyle w:val="FirstParagraph"/>
      </w:pPr>
      <w:r>
        <w:t xml:space="preserve">where</w:t>
      </w:r>
      <w:r>
        <w:t xml:space="preserve"> </w:t>
      </w:r>
      <m:oMath>
        <m:sSub>
          <m:e>
            <m:r>
              <m:t>c</m:t>
            </m:r>
          </m:e>
          <m:sub>
            <m:r>
              <m:t>m</m:t>
            </m:r>
          </m:sub>
        </m:sSub>
      </m:oMath>
      <w:r>
        <w:t xml:space="preserve"> </w:t>
      </w:r>
      <w:r>
        <w:t xml:space="preserve">is the fitted value assigned to region</w:t>
      </w:r>
      <w:r>
        <w:t xml:space="preserve"> </w:t>
      </w:r>
      <m:oMath>
        <m:sSub>
          <m:e>
            <m:r>
              <m:t>R</m:t>
            </m:r>
          </m:e>
          <m:sub>
            <m:r>
              <m:t>m</m:t>
            </m:r>
          </m:sub>
        </m:sSub>
      </m:oMath>
      <w:r>
        <w:t xml:space="preserve"> </w:t>
      </w:r>
      <w:r>
        <w:t xml:space="preserve">and</w:t>
      </w:r>
      <w:r>
        <w:t xml:space="preserve"> </w:t>
      </w:r>
      <m:oMath>
        <m:r>
          <m:t>I</m:t>
        </m:r>
        <m:r>
          <m:rPr>
            <m:sty m:val="p"/>
          </m:rPr>
          <m:t>(</m:t>
        </m:r>
        <m:r>
          <m:t>x</m:t>
        </m:r>
        <m:r>
          <m:rPr>
            <m:sty m:val="p"/>
          </m:rPr>
          <m:t>∈</m:t>
        </m:r>
        <m:sSub>
          <m:e>
            <m:r>
              <m:t>R</m:t>
            </m:r>
          </m:e>
          <m:sub>
            <m:r>
              <m:t>m</m:t>
            </m:r>
          </m:sub>
        </m:sSub>
        <m:r>
          <m:rPr>
            <m:sty m:val="p"/>
          </m:rPr>
          <m:t>)</m:t>
        </m:r>
      </m:oMath>
      <w:r>
        <w:t xml:space="preserve"> </w:t>
      </w:r>
      <w:r>
        <w:t xml:space="preserve">equals 1 if observation</w:t>
      </w:r>
      <w:r>
        <w:t xml:space="preserve"> </w:t>
      </w:r>
      <m:oMath>
        <m:r>
          <m:t>x</m:t>
        </m:r>
      </m:oMath>
      <w:r>
        <w:t xml:space="preserve"> </w:t>
      </w:r>
      <w:r>
        <w:t xml:space="preserve">falls in that region and 0 otherwise. Below</w:t>
      </w:r>
      <w:r>
        <w:t xml:space="preserve"> </w:t>
      </w:r>
      <w:hyperlink w:anchor="fig-dhs-cart-regions">
        <w:r>
          <w:rPr>
            <w:rStyle w:val="Hyperlink"/>
          </w:rPr>
          <w:t xml:space="preserve">Figure 2</w:t>
        </w:r>
      </w:hyperlink>
      <w:r>
        <w:t xml:space="preserve"> </w:t>
      </w:r>
      <w:r>
        <w:t xml:space="preserve">is an illustration drawn from the Democratic Republic of the Congo (DRC) household survey data. We fit a classification tree to predict the probability of under-five mortality using two continuous predictors: the child’s age in months and the household wealth index. The left panel shows the tree itself. The right panel shows the same fitted tree as a partition of the two-dimensional predictor space. Each rectangle corresponds to one terminal node, and all observations inside the same rectangle receive the same fitted probability of mortality.</w:t>
      </w:r>
    </w:p>
    <w:tbl>
      <w:tblPr>
        <w:tblStyle w:val="Table"/>
        <w:tblW w:type="pct" w:w="5000"/>
        <w:tblLayout w:type="fixed"/>
        <w:tblLook w:firstRow="0" w:lastRow="0" w:firstColumn="0" w:lastColumn="0" w:noHBand="0" w:noVBand="0" w:val="0000"/>
      </w:tblPr>
      <w:tblGrid>
        <w:gridCol w:w="7920"/>
      </w:tblGrid>
      <w:tr>
        <w:tc>
          <w:tcPr/>
          <w:bookmarkStart w:id="24" w:name="fig-dhs-cart-regions"/>
          <w:p>
            <w:pPr>
              <w:pStyle w:val="Compact"/>
              <w:jc w:val="center"/>
            </w:pPr>
            <w:r>
              <w:drawing>
                <wp:inline>
                  <wp:extent cx="5334000" cy="2667000"/>
                  <wp:effectExtent b="0" l="0" r="0" t="0"/>
                  <wp:docPr descr="" title="" id="22" name="Picture"/>
                  <a:graphic>
                    <a:graphicData uri="http://schemas.openxmlformats.org/drawingml/2006/picture">
                      <pic:pic>
                        <pic:nvPicPr>
                          <pic:cNvPr descr="MSE_Thesis_Decomposition_of_CI_Trees_MM_files/figure-docx/fig-dhs-cart-regions-1.pdf"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classification tree predicting under-five mortality and its rectangular partition of (Age, Wealth)</w:t>
            </w:r>
          </w:p>
          <w:bookmarkEnd w:id="24"/>
        </w:tc>
      </w:tr>
    </w:tbl>
    <w:p>
      <w:pPr>
        <w:pStyle w:val="BodyText"/>
      </w:pPr>
      <w:r>
        <w:t xml:space="preserve">From the example above</w:t>
      </w:r>
      <w:r>
        <w:t xml:space="preserve"> </w:t>
      </w:r>
      <w:hyperlink w:anchor="fig-dhs-cart-regions">
        <w:r>
          <w:rPr>
            <w:rStyle w:val="Hyperlink"/>
          </w:rPr>
          <w:t xml:space="preserve">Figure 2</w:t>
        </w:r>
      </w:hyperlink>
      <w:r>
        <w:t xml:space="preserve">, we can see the main difference from the regression decomposition. A linear model assigns each determinant a single coefficient, and we must specify interactions beforehand. The same conditional average effect(coefficient) is used for the whole sample. A tree first splits the data into subgroups and then assigns fitted values to each subgroup. The relationship between the outcome and the determinants can therefore change from one part of the population to another. A decision tree thus becomes useful when the pattern depends on thresholds, interactions, or subgroup-specific effects.</w:t>
      </w:r>
    </w:p>
    <w:bookmarkEnd w:id="25"/>
    <w:bookmarkStart w:id="26" w:name="sec-recursive-partitioning-inequality"/>
    <w:p>
      <w:pPr>
        <w:pStyle w:val="Heading3"/>
      </w:pPr>
      <w:r>
        <w:t xml:space="preserve">Recursive Partitioning for Inequality Analysis</w:t>
      </w:r>
    </w:p>
    <w:p>
      <w:pPr>
        <w:pStyle w:val="FirstParagraph"/>
      </w:pPr>
      <w:r>
        <w:t xml:space="preserve">In a usual CART(Classification and Regression Trees), splits are chosen mainly for prediction. A regression tree searches for splits that reduce within-node outcome variation, while a classification tree searches for splits that improve class separation</w:t>
      </w:r>
      <w:r>
        <w:t xml:space="preserve"> </w:t>
      </w:r>
      <w:r>
        <w:t xml:space="preserve">(</w:t>
      </w:r>
      <w:hyperlink w:anchor="ref-hastie2009elements">
        <w:r>
          <w:rPr>
            <w:rStyle w:val="Hyperlink"/>
          </w:rPr>
          <w:t xml:space="preserve">Hastie, Tibshirani and Friedman, 2017</w:t>
        </w:r>
      </w:hyperlink>
      <w:r>
        <w:t xml:space="preserve">)</w:t>
      </w:r>
      <w:r>
        <w:t xml:space="preserve">.</w:t>
      </w:r>
    </w:p>
    <w:p>
      <w:pPr>
        <w:pStyle w:val="BodyText"/>
      </w:pPr>
      <w:r>
        <w:t xml:space="preserve">In this thesis, the split target is changed. The tree is used to form subgroups where under-five mortality is less concentrated by socioeconomic position. The outcome level in each subgroup is still reported, but it is not the quantity used to choose the split. A split is preferred when it reduces the within-node concentration index of under-five mortality.</w:t>
      </w:r>
    </w:p>
    <w:bookmarkEnd w:id="26"/>
    <w:bookmarkStart w:id="30" w:name="sec-ci-recursive-partitioning"/>
    <w:p>
      <w:pPr>
        <w:pStyle w:val="Heading3"/>
      </w:pPr>
      <w:r>
        <w:t xml:space="preserve">Concentration-Index-Based Recursive Partitioning</w:t>
      </w:r>
    </w:p>
    <w:p>
      <w:pPr>
        <w:pStyle w:val="FirstParagraph"/>
      </w:pPr>
      <w:r>
        <w:t xml:space="preserve">To implement recursive partitioning using concentration indices, we developed a greedy concentration-index tree. The procedure follows the CART method of recursive partitioning but replaces the prediction impurity with a concentration-index impurity. The gain function selects both the variable and the split point. At node</w:t>
      </w:r>
      <w:r>
        <w:t xml:space="preserve"> </w:t>
      </w:r>
      <m:oMath>
        <m:r>
          <m:t>t</m:t>
        </m:r>
      </m:oMath>
      <w:r>
        <w:t xml:space="preserve">, the selected split is</w:t>
      </w:r>
    </w:p>
    <w:p>
      <w:pPr>
        <w:pStyle w:val="BodyText"/>
      </w:pPr>
      <m:oMathPara>
        <m:oMathParaPr>
          <m:jc m:val="center"/>
        </m:oMathParaPr>
        <m:oMath>
          <m:r>
            <m:rPr>
              <m:sty m:val="p"/>
            </m:rPr>
            <m:t>(</m:t>
          </m:r>
          <m:sSup>
            <m:e>
              <m:r>
                <m:t>j</m:t>
              </m:r>
            </m:e>
            <m:sup>
              <m:r>
                <m:rPr>
                  <m:sty m:val="p"/>
                </m:rPr>
                <m:t>*</m:t>
              </m:r>
            </m:sup>
          </m:sSup>
          <m:r>
            <m:rPr>
              <m:sty m:val="p"/>
            </m:rPr>
            <m:t>,</m:t>
          </m:r>
          <m:sSup>
            <m:e>
              <m:r>
                <m:t>s</m:t>
              </m:r>
            </m:e>
            <m:sup>
              <m:r>
                <m:rPr>
                  <m:sty m:val="p"/>
                </m:rPr>
                <m:t>*</m:t>
              </m:r>
            </m:sup>
          </m:sSup>
          <m:r>
            <m:rPr>
              <m:sty m:val="p"/>
            </m:rPr>
            <m:t>)</m:t>
          </m:r>
          <m:r>
            <m:rPr>
              <m:sty m:val="p"/>
            </m:rPr>
            <m:t>=</m:t>
          </m:r>
          <m:r>
            <m:rPr>
              <m:sty m:val="p"/>
            </m:rPr>
            <m:t>arg</m:t>
          </m:r>
          <m:limLow>
            <m:e>
              <m:r>
                <m:rPr>
                  <m:sty m:val="p"/>
                </m:rPr>
                <m:t>max</m:t>
              </m:r>
            </m:e>
            <m:lim>
              <m:r>
                <m:t>j</m:t>
              </m:r>
              <m:r>
                <m:rPr>
                  <m:sty m:val="p"/>
                </m:rPr>
                <m:t>∈</m:t>
              </m:r>
              <m:sSub>
                <m:e>
                  <m:r>
                    <m:rPr>
                      <m:scr m:val="script"/>
                      <m:sty m:val="p"/>
                    </m:rPr>
                    <m:t>J</m:t>
                  </m:r>
                </m:e>
                <m:sub>
                  <m:r>
                    <m:t>t</m:t>
                  </m:r>
                </m:sub>
              </m:sSub>
              <m:r>
                <m:rPr>
                  <m:sty m:val="p"/>
                </m:rPr>
                <m:t>,</m:t>
              </m:r>
              <m:r>
                <m:t> </m:t>
              </m:r>
              <m:r>
                <m:t>s</m:t>
              </m:r>
              <m:r>
                <m:rPr>
                  <m:sty m:val="p"/>
                </m:rPr>
                <m:t>∈</m:t>
              </m:r>
              <m:sSub>
                <m:e>
                  <m:r>
                    <m:rPr>
                      <m:scr m:val="script"/>
                      <m:sty m:val="p"/>
                    </m:rPr>
                    <m:t>S</m:t>
                  </m:r>
                </m:e>
                <m:sub>
                  <m:r>
                    <m:t>j</m:t>
                  </m:r>
                  <m:r>
                    <m:t>t</m:t>
                  </m:r>
                </m:sub>
              </m:sSub>
            </m:lim>
          </m:limLow>
          <m:sSub>
            <m:e>
              <m:r>
                <m:t>G</m:t>
              </m:r>
            </m:e>
            <m:sub>
              <m:r>
                <m:t>m</m:t>
              </m:r>
            </m:sub>
          </m:sSub>
          <m:r>
            <m:rPr>
              <m:sty m:val="p"/>
            </m:rPr>
            <m:t>(</m:t>
          </m:r>
          <m:r>
            <m:t>j</m:t>
          </m:r>
          <m:r>
            <m:rPr>
              <m:sty m:val="p"/>
            </m:rPr>
            <m:t>,</m:t>
          </m:r>
          <m:r>
            <m:t>s</m:t>
          </m:r>
          <m:r>
            <m:rPr>
              <m:sty m:val="p"/>
            </m:rPr>
            <m:t>,</m:t>
          </m:r>
          <m:r>
            <m:t>t</m:t>
          </m:r>
          <m:r>
            <m:rPr>
              <m:sty m:val="p"/>
            </m:rPr>
            <m:t>)</m:t>
          </m:r>
          <m:r>
            <m:rPr>
              <m:sty m:val="p"/>
            </m:rPr>
            <m:t>,</m:t>
          </m:r>
        </m:oMath>
      </m:oMathPara>
    </w:p>
    <w:p>
      <w:pPr>
        <w:pStyle w:val="FirstParagraph"/>
      </w:pPr>
      <w:r>
        <w:t xml:space="preserve">where</w:t>
      </w:r>
      <w:r>
        <w:t xml:space="preserve"> </w:t>
      </w:r>
      <m:oMath>
        <m:r>
          <m:t>m</m:t>
        </m:r>
      </m:oMath>
      <w:r>
        <w:t xml:space="preserve"> </w:t>
      </w:r>
      <w:r>
        <w:t xml:space="preserve">is one of</w:t>
      </w:r>
      <w:r>
        <w:t xml:space="preserve"> </w:t>
      </w:r>
      <m:oMath>
        <m:r>
          <m:t>C</m:t>
        </m:r>
        <m:r>
          <m:t>I</m:t>
        </m:r>
      </m:oMath>
      <w:r>
        <w:t xml:space="preserve">,</w:t>
      </w:r>
      <w:r>
        <w:t xml:space="preserve"> </w:t>
      </w:r>
      <m:oMath>
        <m:r>
          <m:t>C</m:t>
        </m:r>
        <m:r>
          <m:t>I</m:t>
        </m:r>
        <m:r>
          <m:t>g</m:t>
        </m:r>
      </m:oMath>
      <w:r>
        <w:t xml:space="preserve">, or</w:t>
      </w:r>
      <w:r>
        <w:t xml:space="preserve"> </w:t>
      </w:r>
      <m:oMath>
        <m:r>
          <m:t>C</m:t>
        </m:r>
        <m:r>
          <m:t>I</m:t>
        </m:r>
        <m:r>
          <m:t>c</m:t>
        </m:r>
      </m:oMath>
      <w:r>
        <w:t xml:space="preserve">,</w:t>
      </w:r>
      <w:r>
        <w:t xml:space="preserve"> </w:t>
      </w:r>
      <m:oMath>
        <m:sSub>
          <m:e>
            <m:r>
              <m:rPr>
                <m:scr m:val="script"/>
                <m:sty m:val="p"/>
              </m:rPr>
              <m:t>J</m:t>
            </m:r>
          </m:e>
          <m:sub>
            <m:r>
              <m:t>t</m:t>
            </m:r>
          </m:sub>
        </m:sSub>
      </m:oMath>
      <w:r>
        <w:t xml:space="preserve"> </w:t>
      </w:r>
      <w:r>
        <w:t xml:space="preserve">is the set of candidate variables at node</w:t>
      </w:r>
      <w:r>
        <w:t xml:space="preserve"> </w:t>
      </w:r>
      <m:oMath>
        <m:r>
          <m:t>t</m:t>
        </m:r>
      </m:oMath>
      <w:r>
        <w:t xml:space="preserve">, and</w:t>
      </w:r>
      <w:r>
        <w:t xml:space="preserve"> </w:t>
      </w:r>
      <m:oMath>
        <m:sSub>
          <m:e>
            <m:r>
              <m:rPr>
                <m:scr m:val="script"/>
                <m:sty m:val="p"/>
              </m:rPr>
              <m:t>S</m:t>
            </m:r>
          </m:e>
          <m:sub>
            <m:r>
              <m:t>j</m:t>
            </m:r>
            <m:r>
              <m:t>t</m:t>
            </m:r>
          </m:sub>
        </m:sSub>
      </m:oMath>
      <w:r>
        <w:t xml:space="preserve"> </w:t>
      </w:r>
      <w:r>
        <w:t xml:space="preserve">is the set of admissible splits for variable</w:t>
      </w:r>
      <w:r>
        <w:t xml:space="preserve"> </w:t>
      </w:r>
      <m:oMath>
        <m:r>
          <m:t>j</m:t>
        </m:r>
      </m:oMath>
      <w:r>
        <w:t xml:space="preserve">. The implementation uses partykit tree representation</w:t>
      </w:r>
      <w:r>
        <w:t xml:space="preserve"> </w:t>
      </w:r>
      <w:r>
        <w:t xml:space="preserve">(</w:t>
      </w:r>
      <w:hyperlink w:anchor="ref-hothorn2015partykit">
        <w:r>
          <w:rPr>
            <w:rStyle w:val="Hyperlink"/>
          </w:rPr>
          <w:t xml:space="preserve">Hothorn and Zeileis, 2015</w:t>
        </w:r>
      </w:hyperlink>
      <w:r>
        <w:t xml:space="preserve">)</w:t>
      </w:r>
      <w:r>
        <w:t xml:space="preserve">. However, it replaces the conditional-inference tree-growing engine with a custom recursive builder whose split rule directly maximises concentration-index gain over candidate variables and split points.</w:t>
      </w:r>
    </w:p>
    <w:bookmarkStart w:id="27" w:name="sec-weighted-within-node-rank"/>
    <w:p>
      <w:pPr>
        <w:pStyle w:val="Heading4"/>
      </w:pPr>
      <w:r>
        <w:t xml:space="preserve">Weighted Within-Node Rank Function</w:t>
      </w:r>
    </w:p>
    <w:p>
      <w:pPr>
        <w:pStyle w:val="FirstParagraph"/>
      </w:pPr>
      <w:r>
        <w:t xml:space="preserve">The concentration index requires individuals to be ranked from poorest to richest. Because the tree is recursive, this ranking must be recomputed at each node. We define a weighted within-node rank function. For individual</w:t>
      </w:r>
      <w:r>
        <w:t xml:space="preserve"> </w:t>
      </w:r>
      <m:oMath>
        <m:r>
          <m:t>i</m:t>
        </m:r>
      </m:oMath>
      <w:r>
        <w:t xml:space="preserve"> </w:t>
      </w:r>
      <w:r>
        <w:t xml:space="preserve">belonging to node</w:t>
      </w:r>
      <w:r>
        <w:t xml:space="preserve"> </w:t>
      </w:r>
      <m:oMath>
        <m:r>
          <m:t>t</m:t>
        </m:r>
      </m:oMath>
      <w:r>
        <w:t xml:space="preserve">, let the weighted fractional rank be</w:t>
      </w:r>
    </w:p>
    <w:p>
      <w:pPr>
        <w:pStyle w:val="BodyText"/>
      </w:pPr>
      <m:oMathPara>
        <m:oMathParaPr>
          <m:jc m:val="center"/>
        </m:oMathParaPr>
        <m:oMath>
          <m:sSub>
            <m:e>
              <m:r>
                <m:t>R</m:t>
              </m:r>
            </m:e>
            <m:sub>
              <m:r>
                <m:t>i</m:t>
              </m:r>
              <m:r>
                <m:rPr>
                  <m:sty m:val="p"/>
                </m:rPr>
                <m:t>|</m:t>
              </m:r>
              <m:r>
                <m:t>t</m:t>
              </m:r>
            </m:sub>
          </m:sSub>
          <m:r>
            <m:rPr>
              <m:sty m:val="p"/>
            </m:rPr>
            <m:t>=</m:t>
          </m:r>
          <m:f>
            <m:fPr>
              <m:type m:val="bar"/>
            </m:fPr>
            <m:num>
              <m:r>
                <m:t>1</m:t>
              </m:r>
            </m:num>
            <m:den>
              <m:sSub>
                <m:e>
                  <m:r>
                    <m:t>W</m:t>
                  </m:r>
                </m:e>
                <m:sub>
                  <m:r>
                    <m:t>t</m:t>
                  </m:r>
                </m:sub>
              </m:sSub>
            </m:den>
          </m:f>
          <m:d>
            <m:dPr>
              <m:begChr m:val="("/>
              <m:sepChr m:val=""/>
              <m:endChr m:val=")"/>
              <m:grow/>
            </m:dPr>
            <m:e>
              <m:nary>
                <m:naryPr>
                  <m:chr m:val="∑"/>
                  <m:limLoc m:val="undOvr"/>
                  <m:subHide m:val="off"/>
                  <m:supHide m:val="on"/>
                </m:naryPr>
                <m:sub>
                  <m:r>
                    <m:t>j</m:t>
                  </m:r>
                  <m:r>
                    <m:rPr>
                      <m:sty m:val="p"/>
                    </m:rPr>
                    <m:t>∈</m:t>
                  </m:r>
                  <m:r>
                    <m:t>t</m:t>
                  </m:r>
                  <m:r>
                    <m:rPr>
                      <m:sty m:val="p"/>
                    </m:rPr>
                    <m:t>:</m:t>
                  </m:r>
                  <m:sSub>
                    <m:e>
                      <m:r>
                        <m:t>S</m:t>
                      </m:r>
                    </m:e>
                    <m:sub>
                      <m:r>
                        <m:t>j</m:t>
                      </m:r>
                    </m:sub>
                  </m:sSub>
                  <m:r>
                    <m:rPr>
                      <m:sty m:val="p"/>
                    </m:rPr>
                    <m:t>&lt;</m:t>
                  </m:r>
                  <m:sSub>
                    <m:e>
                      <m:r>
                        <m:t>S</m:t>
                      </m:r>
                    </m:e>
                    <m:sub>
                      <m:r>
                        <m:t>i</m:t>
                      </m:r>
                    </m:sub>
                  </m:sSub>
                </m:sub>
                <m:sup>
                  <m:r>
                    <m:t>​</m:t>
                  </m:r>
                </m:sup>
                <m:e>
                  <m:sSub>
                    <m:e>
                      <m:r>
                        <m:t>w</m:t>
                      </m:r>
                    </m:e>
                    <m:sub>
                      <m:r>
                        <m:t>j</m:t>
                      </m:r>
                    </m:sub>
                  </m:sSub>
                </m:e>
              </m:nary>
              <m:r>
                <m:rPr>
                  <m:sty m:val="p"/>
                </m:rPr>
                <m:t>+</m:t>
              </m:r>
              <m:f>
                <m:fPr>
                  <m:type m:val="bar"/>
                </m:fPr>
                <m:num>
                  <m:sSub>
                    <m:e>
                      <m:r>
                        <m:t>w</m:t>
                      </m:r>
                    </m:e>
                    <m:sub>
                      <m:r>
                        <m:t>i</m:t>
                      </m:r>
                    </m:sub>
                  </m:sSub>
                </m:num>
                <m:den>
                  <m:r>
                    <m:t>2</m:t>
                  </m:r>
                </m:den>
              </m:f>
            </m:e>
          </m:d>
          <m:r>
            <m:rPr>
              <m:sty m:val="p"/>
            </m:rPr>
            <m:t>,</m:t>
          </m:r>
        </m:oMath>
      </m:oMathPara>
    </w:p>
    <w:p>
      <w:pPr>
        <w:pStyle w:val="FirstParagraph"/>
      </w:pPr>
      <w:r>
        <w:t xml:space="preserve">where</w:t>
      </w:r>
      <w:r>
        <w:t xml:space="preserve"> </w:t>
      </w:r>
      <m:oMath>
        <m:sSub>
          <m:e>
            <m:r>
              <m:t>S</m:t>
            </m:r>
          </m:e>
          <m:sub>
            <m:r>
              <m:t>i</m:t>
            </m:r>
          </m:sub>
        </m:sSub>
      </m:oMath>
      <w:r>
        <w:t xml:space="preserve"> </w:t>
      </w:r>
      <w:r>
        <w:t xml:space="preserve">denotes the socioeconomic ranking value of individual</w:t>
      </w:r>
      <w:r>
        <w:t xml:space="preserve"> </w:t>
      </w:r>
      <m:oMath>
        <m:r>
          <m:t>i</m:t>
        </m:r>
      </m:oMath>
      <w:r>
        <w:t xml:space="preserve">, and</w:t>
      </w:r>
      <w:r>
        <w:t xml:space="preserve"> </w:t>
      </w:r>
      <m:oMath>
        <m:sSub>
          <m:e>
            <m:r>
              <m:t>S</m:t>
            </m:r>
          </m:e>
          <m:sub>
            <m:r>
              <m:t>j</m:t>
            </m:r>
          </m:sub>
        </m:sSub>
      </m:oMath>
      <w:r>
        <w:t xml:space="preserve"> </w:t>
      </w:r>
      <w:r>
        <w:t xml:space="preserve">denotes the corresponding value for individual</w:t>
      </w:r>
      <w:r>
        <w:t xml:space="preserve"> </w:t>
      </w:r>
      <m:oMath>
        <m:r>
          <m:t>j</m:t>
        </m:r>
      </m:oMath>
      <w:r>
        <w:t xml:space="preserve"> </w:t>
      </w:r>
      <w:r>
        <w:t xml:space="preserve">in the same node. The terms</w:t>
      </w:r>
      <w:r>
        <w:t xml:space="preserve"> </w:t>
      </w:r>
      <m:oMath>
        <m:sSub>
          <m:e>
            <m:r>
              <m:t>w</m:t>
            </m:r>
          </m:e>
          <m:sub>
            <m:r>
              <m:t>i</m:t>
            </m:r>
          </m:sub>
        </m:sSub>
      </m:oMath>
      <w:r>
        <w:t xml:space="preserve"> </w:t>
      </w:r>
      <w:r>
        <w:t xml:space="preserve">and</w:t>
      </w:r>
      <w:r>
        <w:t xml:space="preserve"> </w:t>
      </w:r>
      <m:oMath>
        <m:sSub>
          <m:e>
            <m:r>
              <m:t>w</m:t>
            </m:r>
          </m:e>
          <m:sub>
            <m:r>
              <m:t>j</m:t>
            </m:r>
          </m:sub>
        </m:sSub>
      </m:oMath>
      <w:r>
        <w:t xml:space="preserve"> </w:t>
      </w:r>
      <w:r>
        <w:t xml:space="preserve">are their survey weights, and</w:t>
      </w:r>
      <w:r>
        <w:t xml:space="preserve"> </w:t>
      </w:r>
      <m:oMath>
        <m:sSub>
          <m:e>
            <m:r>
              <m:t>W</m:t>
            </m:r>
          </m:e>
          <m:sub>
            <m:r>
              <m:t>t</m:t>
            </m:r>
          </m:sub>
        </m:sSub>
        <m:r>
          <m:rPr>
            <m:sty m:val="p"/>
          </m:rPr>
          <m:t>=</m:t>
        </m:r>
        <m:nary>
          <m:naryPr>
            <m:chr m:val="∑"/>
            <m:limLoc m:val="undOvr"/>
            <m:subHide m:val="off"/>
            <m:supHide m:val="on"/>
          </m:naryPr>
          <m:sub>
            <m:r>
              <m:t>i</m:t>
            </m:r>
            <m:r>
              <m:rPr>
                <m:sty m:val="p"/>
              </m:rPr>
              <m:t>∈</m:t>
            </m:r>
            <m:r>
              <m:t>t</m:t>
            </m:r>
          </m:sub>
          <m:sup>
            <m:r>
              <m:t>​</m:t>
            </m:r>
          </m:sup>
          <m:e>
            <m:sSub>
              <m:e>
                <m:r>
                  <m:t>w</m:t>
                </m:r>
              </m:e>
              <m:sub>
                <m:r>
                  <m:t>i</m:t>
                </m:r>
              </m:sub>
            </m:sSub>
          </m:e>
        </m:nary>
      </m:oMath>
      <w:r>
        <w:t xml:space="preserve"> </w:t>
      </w:r>
      <w:r>
        <w:t xml:space="preserve">is the total survey weight in node</w:t>
      </w:r>
      <w:r>
        <w:t xml:space="preserve"> </w:t>
      </w:r>
      <m:oMath>
        <m:r>
          <m:t>t</m:t>
        </m:r>
      </m:oMath>
      <w:r>
        <w:t xml:space="preserve">.</w:t>
      </w:r>
    </w:p>
    <w:p>
      <w:pPr>
        <w:pStyle w:val="BodyText"/>
      </w:pPr>
      <w:r>
        <w:t xml:space="preserve">In this formula, the first term counts the survey weight of children in the same node who are poorer than child</w:t>
      </w:r>
      <w:r>
        <w:t xml:space="preserve"> </w:t>
      </w:r>
      <m:oMath>
        <m:r>
          <m:t>i</m:t>
        </m:r>
      </m:oMath>
      <w:r>
        <w:t xml:space="preserve">, and adding half of</w:t>
      </w:r>
      <w:r>
        <w:t xml:space="preserve"> </w:t>
      </w:r>
      <m:oMath>
        <m:sSub>
          <m:e>
            <m:r>
              <m:t>w</m:t>
            </m:r>
          </m:e>
          <m:sub>
            <m:r>
              <m:t>i</m:t>
            </m:r>
          </m:sub>
        </m:sSub>
      </m:oMath>
      <w:r>
        <w:t xml:space="preserve"> </w:t>
      </w:r>
      <w:r>
        <w:t xml:space="preserve">places the child at the midpoint of its own weighted position in the ordered list. The rank is then divided by the total node weight, so</w:t>
      </w:r>
      <w:r>
        <w:t xml:space="preserve"> </w:t>
      </w:r>
      <m:oMath>
        <m:sSub>
          <m:e>
            <m:r>
              <m:t>R</m:t>
            </m:r>
          </m:e>
          <m:sub>
            <m:r>
              <m:t>i</m:t>
            </m:r>
            <m:r>
              <m:rPr>
                <m:sty m:val="p"/>
              </m:rPr>
              <m:t>|</m:t>
            </m:r>
            <m:r>
              <m:t>t</m:t>
            </m:r>
          </m:sub>
        </m:sSub>
      </m:oMath>
      <w:r>
        <w:t xml:space="preserve"> </w:t>
      </w:r>
      <w:r>
        <w:t xml:space="preserve">lies between 0 and 1. Since this calculation is repeated separately inside each node, the wealth rank used by the concentration index is local to the subgroup being split, not to the full DHS sample.</w:t>
      </w:r>
    </w:p>
    <w:bookmarkEnd w:id="27"/>
    <w:bookmarkStart w:id="28" w:name="sec-node-impurity-ci"/>
    <w:p>
      <w:pPr>
        <w:pStyle w:val="Heading4"/>
      </w:pPr>
      <w:r>
        <w:t xml:space="preserve">Node Impurity Based on the Concentration Index</w:t>
      </w:r>
    </w:p>
    <w:p>
      <w:pPr>
        <w:pStyle w:val="FirstParagraph"/>
      </w:pPr>
      <w:r>
        <w:t xml:space="preserve">After we define within-node rank, the tree needs a criterion for comparing possible splits. In ordinary CART, node impurity is based on the homogeneity of the outcomes. A regression tree favours splits that reduce within-node variance or residual sum of squares, while a classification tree may use classification error, Gini impurity, or entropy</w:t>
      </w:r>
      <w:r>
        <w:t xml:space="preserve"> </w:t>
      </w:r>
      <w:r>
        <w:t xml:space="preserve">(</w:t>
      </w:r>
      <w:hyperlink w:anchor="ref-hastie2009elements">
        <w:r>
          <w:rPr>
            <w:rStyle w:val="Hyperlink"/>
          </w:rPr>
          <w:t xml:space="preserve">Hastie, Tibshirani and Friedman, 2017</w:t>
        </w:r>
      </w:hyperlink>
      <w:r>
        <w:t xml:space="preserve">)</w:t>
      </w:r>
      <w:r>
        <w:t xml:space="preserve">. A good split should leave the two child nodes less mixed in the outcome than the parent node. In this thesis, the same node impurity logic is used, but the impurity measure is replaced by one based on the concentration index.</w:t>
      </w:r>
    </w:p>
    <w:p>
      <w:pPr>
        <w:pStyle w:val="BodyText"/>
      </w:pPr>
      <w:r>
        <w:t xml:space="preserve">In the present method, the aim is not to make nodes homogeneous in their outcome level, but to make them more homogeneous with respect to socioeconomic inequality in the outcome. We therefore define the impurity of a node as the absolute concentration index within that node. For node</w:t>
      </w:r>
      <w:r>
        <w:t xml:space="preserve"> </w:t>
      </w:r>
      <m:oMath>
        <m:r>
          <m:t>t</m:t>
        </m:r>
      </m:oMath>
      <w:r>
        <w:t xml:space="preserve">, let</w:t>
      </w:r>
    </w:p>
    <w:p>
      <w:pPr>
        <w:pStyle w:val="BodyText"/>
      </w:pPr>
      <m:oMathPara>
        <m:oMathParaPr>
          <m:jc m:val="center"/>
        </m:oMathParaPr>
        <m:oMath>
          <m:r>
            <m:t>C</m:t>
          </m:r>
          <m:sSub>
            <m:e>
              <m:r>
                <m:t>I</m:t>
              </m:r>
            </m:e>
            <m:sub>
              <m:r>
                <m:t>t</m:t>
              </m:r>
            </m:sub>
          </m:sSub>
          <m:r>
            <m:rPr>
              <m:sty m:val="p"/>
            </m:rPr>
            <m:t>=</m:t>
          </m:r>
          <m:f>
            <m:fPr>
              <m:type m:val="bar"/>
            </m:fPr>
            <m:num>
              <m:r>
                <m:t>2</m:t>
              </m:r>
            </m:num>
            <m:den>
              <m:sSub>
                <m:e>
                  <m:r>
                    <m:t>W</m:t>
                  </m:r>
                </m:e>
                <m:sub>
                  <m:r>
                    <m:t>t</m:t>
                  </m:r>
                </m:sub>
              </m:sSub>
              <m:sSub>
                <m:e>
                  <m:r>
                    <m:t>μ</m:t>
                  </m:r>
                </m:e>
                <m:sub>
                  <m:r>
                    <m:t>t</m:t>
                  </m:r>
                </m:sub>
              </m:sSub>
            </m:den>
          </m:f>
          <m:nary>
            <m:naryPr>
              <m:chr m:val="∑"/>
              <m:limLoc m:val="undOvr"/>
              <m:subHide m:val="off"/>
              <m:supHide m:val="on"/>
            </m:naryPr>
            <m:sub>
              <m:r>
                <m:t>i</m:t>
              </m:r>
              <m:r>
                <m:rPr>
                  <m:sty m:val="p"/>
                </m:rPr>
                <m:t>∈</m:t>
              </m:r>
              <m:r>
                <m:t>t</m:t>
              </m:r>
            </m:sub>
            <m:sup>
              <m:r>
                <m:t>​</m:t>
              </m:r>
            </m:sup>
            <m:e>
              <m:sSub>
                <m:e>
                  <m:r>
                    <m:t>w</m:t>
                  </m:r>
                </m:e>
                <m:sub>
                  <m:r>
                    <m:t>i</m:t>
                  </m:r>
                </m:sub>
              </m:sSub>
            </m:e>
          </m:nary>
          <m:sSub>
            <m:e>
              <m:r>
                <m:t>Y</m:t>
              </m:r>
            </m:e>
            <m:sub>
              <m:r>
                <m:t>i</m:t>
              </m:r>
            </m:sub>
          </m:sSub>
          <m:sSub>
            <m:e>
              <m:r>
                <m:t>R</m:t>
              </m:r>
            </m:e>
            <m:sub>
              <m:r>
                <m:t>i</m:t>
              </m:r>
              <m:r>
                <m:rPr>
                  <m:sty m:val="p"/>
                </m:rPr>
                <m:t>|</m:t>
              </m:r>
              <m:r>
                <m:t>t</m:t>
              </m:r>
            </m:sub>
          </m:sSub>
          <m:r>
            <m:rPr>
              <m:sty m:val="p"/>
            </m:rPr>
            <m:t>−</m:t>
          </m:r>
          <m:r>
            <m:t>1</m:t>
          </m:r>
        </m:oMath>
      </m:oMathPara>
    </w:p>
    <w:p>
      <w:pPr>
        <w:pStyle w:val="FirstParagraph"/>
      </w:pPr>
      <w:r>
        <w:t xml:space="preserve">where</w:t>
      </w:r>
    </w:p>
    <w:p>
      <w:pPr>
        <w:pStyle w:val="BodyText"/>
      </w:pPr>
      <m:oMathPara>
        <m:oMathParaPr>
          <m:jc m:val="center"/>
        </m:oMathParaPr>
        <m:oMath>
          <m:sSub>
            <m:e>
              <m:r>
                <m:t>μ</m:t>
              </m:r>
            </m:e>
            <m:sub>
              <m:r>
                <m:t>t</m:t>
              </m:r>
            </m:sub>
          </m:sSub>
          <m:r>
            <m:rPr>
              <m:sty m:val="p"/>
            </m:rPr>
            <m:t>=</m:t>
          </m:r>
          <m:f>
            <m:fPr>
              <m:type m:val="bar"/>
            </m:fPr>
            <m:num>
              <m:r>
                <m:t>1</m:t>
              </m:r>
            </m:num>
            <m:den>
              <m:sSub>
                <m:e>
                  <m:r>
                    <m:t>W</m:t>
                  </m:r>
                </m:e>
                <m:sub>
                  <m:r>
                    <m:t>t</m:t>
                  </m:r>
                </m:sub>
              </m:sSub>
            </m:den>
          </m:f>
          <m:nary>
            <m:naryPr>
              <m:chr m:val="∑"/>
              <m:limLoc m:val="undOvr"/>
              <m:subHide m:val="off"/>
              <m:supHide m:val="on"/>
            </m:naryPr>
            <m:sub>
              <m:r>
                <m:t>i</m:t>
              </m:r>
              <m:r>
                <m:rPr>
                  <m:sty m:val="p"/>
                </m:rPr>
                <m:t>∈</m:t>
              </m:r>
              <m:r>
                <m:t>t</m:t>
              </m:r>
            </m:sub>
            <m:sup>
              <m:r>
                <m:t>​</m:t>
              </m:r>
            </m:sup>
            <m:e>
              <m:sSub>
                <m:e>
                  <m:r>
                    <m:t>w</m:t>
                  </m:r>
                </m:e>
                <m:sub>
                  <m:r>
                    <m:t>i</m:t>
                  </m:r>
                </m:sub>
              </m:sSub>
            </m:e>
          </m:nary>
          <m:sSub>
            <m:e>
              <m:r>
                <m:t>Y</m:t>
              </m:r>
            </m:e>
            <m:sub>
              <m:r>
                <m:t>i</m:t>
              </m:r>
            </m:sub>
          </m:sSub>
        </m:oMath>
      </m:oMathPara>
    </w:p>
    <w:p>
      <w:pPr>
        <w:pStyle w:val="FirstParagraph"/>
      </w:pPr>
      <w:r>
        <w:t xml:space="preserve">is the weighted mean of the health outcome in node</w:t>
      </w:r>
      <w:r>
        <w:t xml:space="preserve"> </w:t>
      </w:r>
      <m:oMath>
        <m:r>
          <m:t>t</m:t>
        </m:r>
      </m:oMath>
      <w:r>
        <w:t xml:space="preserve">. This may be written in weighted covariance form as</w:t>
      </w:r>
    </w:p>
    <w:p>
      <w:pPr>
        <w:pStyle w:val="BodyText"/>
      </w:pPr>
      <m:oMathPara>
        <m:oMathParaPr>
          <m:jc m:val="center"/>
        </m:oMathParaPr>
        <m:oMath>
          <m:r>
            <m:t>C</m:t>
          </m:r>
          <m:sSub>
            <m:e>
              <m:r>
                <m:t>I</m:t>
              </m:r>
            </m:e>
            <m:sub>
              <m:r>
                <m:t>t</m:t>
              </m:r>
            </m:sub>
          </m:sSub>
          <m:r>
            <m:rPr>
              <m:sty m:val="p"/>
            </m:rPr>
            <m:t>=</m:t>
          </m:r>
          <m:f>
            <m:fPr>
              <m:type m:val="bar"/>
            </m:fPr>
            <m:num>
              <m:r>
                <m:t>2</m:t>
              </m:r>
            </m:num>
            <m:den>
              <m:sSub>
                <m:e>
                  <m:r>
                    <m:t>μ</m:t>
                  </m:r>
                </m:e>
                <m:sub>
                  <m:r>
                    <m:t>t</m:t>
                  </m:r>
                </m:sub>
              </m:sSub>
            </m:den>
          </m:f>
          <m:sSub>
            <m:e>
              <m:r>
                <m:rPr>
                  <m:sty m:val="p"/>
                </m:rPr>
                <m:t>cov</m:t>
              </m:r>
            </m:e>
            <m:sub>
              <m:r>
                <m:t>w</m:t>
              </m:r>
            </m:sub>
          </m:sSub>
          <m:r>
            <m:rPr>
              <m:sty m:val="p"/>
            </m:rPr>
            <m:t>(</m:t>
          </m:r>
          <m:sSub>
            <m:e>
              <m:r>
                <m:t>Y</m:t>
              </m:r>
            </m:e>
            <m:sub>
              <m:r>
                <m:t>i</m:t>
              </m:r>
            </m:sub>
          </m:sSub>
          <m:r>
            <m:rPr>
              <m:sty m:val="p"/>
            </m:rPr>
            <m:t>,</m:t>
          </m:r>
          <m:sSub>
            <m:e>
              <m:r>
                <m:t>R</m:t>
              </m:r>
            </m:e>
            <m:sub>
              <m:r>
                <m:t>i</m:t>
              </m:r>
              <m:r>
                <m:rPr>
                  <m:sty m:val="p"/>
                </m:rPr>
                <m:t>|</m:t>
              </m:r>
              <m:r>
                <m:t>t</m:t>
              </m:r>
            </m:sub>
          </m:sSub>
          <m:r>
            <m:rPr>
              <m:sty m:val="p"/>
            </m:rPr>
            <m:t>)</m:t>
          </m:r>
          <m:r>
            <m:rPr>
              <m:sty m:val="p"/>
            </m:rPr>
            <m:t>.</m:t>
          </m:r>
        </m:oMath>
      </m:oMathPara>
    </w:p>
    <w:p>
      <w:pPr>
        <w:pStyle w:val="FirstParagraph"/>
      </w:pPr>
      <w:r>
        <w:t xml:space="preserve">The quantity</w:t>
      </w:r>
      <w:r>
        <w:t xml:space="preserve"> </w:t>
      </w:r>
      <m:oMath>
        <m:r>
          <m:t>C</m:t>
        </m:r>
        <m:sSub>
          <m:e>
            <m:r>
              <m:t>I</m:t>
            </m:r>
          </m:e>
          <m:sub>
            <m:r>
              <m:t>t</m:t>
            </m:r>
          </m:sub>
        </m:sSub>
      </m:oMath>
      <w:r>
        <w:t xml:space="preserve"> </w:t>
      </w:r>
      <w:r>
        <w:t xml:space="preserve">measures whether the health outcome is concentrated among poorer or richer individuals within the node. Values close to zero indicate little socioeconomic inequality within the subgroup, while larger absolute values indicate stronger inequality. Because the split criterion is intended to measure the strength of inequality remaining within a node, regardless of whether it is pro-poor or pro-rich, we use the absolute value as the impurity measure:</w:t>
      </w:r>
    </w:p>
    <w:p>
      <w:pPr>
        <w:pStyle w:val="BodyText"/>
      </w:pPr>
      <m:oMathPara>
        <m:oMathParaPr>
          <m:jc m:val="center"/>
        </m:oMathParaPr>
        <m:oMath>
          <m:r>
            <m:t>I</m:t>
          </m:r>
          <m:r>
            <m:rPr>
              <m:sty m:val="p"/>
            </m:rPr>
            <m:t>(</m:t>
          </m:r>
          <m:r>
            <m:t>t</m:t>
          </m:r>
          <m:r>
            <m:rPr>
              <m:sty m:val="p"/>
            </m:rPr>
            <m:t>)</m:t>
          </m:r>
          <m:r>
            <m:rPr>
              <m:sty m:val="p"/>
            </m:rPr>
            <m:t>=</m:t>
          </m:r>
          <m:r>
            <m:rPr>
              <m:sty m:val="p"/>
            </m:rPr>
            <m:t>|</m:t>
          </m:r>
          <m:r>
            <m:t>C</m:t>
          </m:r>
          <m:sSub>
            <m:e>
              <m:r>
                <m:t>I</m:t>
              </m:r>
            </m:e>
            <m:sub>
              <m:r>
                <m:t>t</m:t>
              </m:r>
            </m:sub>
          </m:sSub>
          <m:r>
            <m:rPr>
              <m:sty m:val="p"/>
            </m:rPr>
            <m:t>|</m:t>
          </m:r>
          <m:r>
            <m:rPr>
              <m:sty m:val="p"/>
            </m:rPr>
            <m:t>.</m:t>
          </m:r>
        </m:oMath>
      </m:oMathPara>
    </w:p>
    <w:bookmarkEnd w:id="28"/>
    <w:bookmarkStart w:id="29" w:name="sec-split-gain"/>
    <w:p>
      <w:pPr>
        <w:pStyle w:val="Heading4"/>
      </w:pPr>
      <w:r>
        <w:t xml:space="preserve">Split Gain Function</w:t>
      </w:r>
    </w:p>
    <w:p>
      <w:pPr>
        <w:pStyle w:val="FirstParagraph"/>
      </w:pPr>
      <w:r>
        <w:t xml:space="preserve">At this stage, the tree needs an objective function: a rule for deciding which split is best. At each node, the objective searches for candidate splits and keeps the one that yields the largest improvement under the chosen criterion.</w:t>
      </w:r>
    </w:p>
    <w:p>
      <w:pPr>
        <w:pStyle w:val="BodyText"/>
      </w:pPr>
      <w:r>
        <w:t xml:space="preserve">In this thesis, the same search over candidate splits used in classification and regression trees (CART)is retained, but the objective function is changed. The split is not selected because it gives the best prediction of under-five mortality in the usual trees. It is selected because it gives the largest reduction in socioeconomic inequality in under-five mortality.</w:t>
      </w:r>
    </w:p>
    <w:p>
      <w:pPr>
        <w:pStyle w:val="BodyText"/>
      </w:pPr>
      <w:r>
        <w:t xml:space="preserve">We therefore define node impurity as the absolute value of the chosen concentration-index measure within that node. A split is preferred when the two child nodes contain less within-node socioeconomic inequality in mortality than the parent node. For a candidate variable-split pair</w:t>
      </w:r>
      <w:r>
        <w:t xml:space="preserve"> </w:t>
      </w:r>
      <m:oMath>
        <m:r>
          <m:rPr>
            <m:sty m:val="p"/>
          </m:rPr>
          <m:t>(</m:t>
        </m:r>
        <m:r>
          <m:t>j</m:t>
        </m:r>
        <m:r>
          <m:rPr>
            <m:sty m:val="p"/>
          </m:rPr>
          <m:t>,</m:t>
        </m:r>
        <m:r>
          <m:t>s</m:t>
        </m:r>
        <m:r>
          <m:rPr>
            <m:sty m:val="p"/>
          </m:rPr>
          <m:t>)</m:t>
        </m:r>
      </m:oMath>
      <w:r>
        <w:t xml:space="preserve"> </w:t>
      </w:r>
      <w:r>
        <w:t xml:space="preserve">that divides node</w:t>
      </w:r>
      <w:r>
        <w:t xml:space="preserve"> </w:t>
      </w:r>
      <m:oMath>
        <m:r>
          <m:t>t</m:t>
        </m:r>
      </m:oMath>
      <w:r>
        <w:t xml:space="preserve"> </w:t>
      </w:r>
      <w:r>
        <w:t xml:space="preserve">into a left child node</w:t>
      </w:r>
      <w:r>
        <w:t xml:space="preserve"> </w:t>
      </w:r>
      <m:oMath>
        <m:sSub>
          <m:e>
            <m:r>
              <m:t>t</m:t>
            </m:r>
          </m:e>
          <m:sub>
            <m:r>
              <m:t>L</m:t>
            </m:r>
          </m:sub>
        </m:sSub>
        <m:r>
          <m:rPr>
            <m:sty m:val="p"/>
          </m:rPr>
          <m:t>(</m:t>
        </m:r>
        <m:r>
          <m:t>j</m:t>
        </m:r>
        <m:r>
          <m:rPr>
            <m:sty m:val="p"/>
          </m:rPr>
          <m:t>,</m:t>
        </m:r>
        <m:r>
          <m:t>s</m:t>
        </m:r>
        <m:r>
          <m:rPr>
            <m:sty m:val="p"/>
          </m:rPr>
          <m:t>)</m:t>
        </m:r>
      </m:oMath>
      <w:r>
        <w:t xml:space="preserve"> </w:t>
      </w:r>
      <w:r>
        <w:t xml:space="preserve">and a right child node</w:t>
      </w:r>
      <w:r>
        <w:t xml:space="preserve"> </w:t>
      </w:r>
      <m:oMath>
        <m:sSub>
          <m:e>
            <m:r>
              <m:t>t</m:t>
            </m:r>
          </m:e>
          <m:sub>
            <m:r>
              <m:t>R</m:t>
            </m:r>
          </m:sub>
        </m:sSub>
        <m:r>
          <m:rPr>
            <m:sty m:val="p"/>
          </m:rPr>
          <m:t>(</m:t>
        </m:r>
        <m:r>
          <m:t>j</m:t>
        </m:r>
        <m:r>
          <m:rPr>
            <m:sty m:val="p"/>
          </m:rPr>
          <m:t>,</m:t>
        </m:r>
        <m:r>
          <m:t>s</m:t>
        </m:r>
        <m:r>
          <m:rPr>
            <m:sty m:val="p"/>
          </m:rPr>
          <m:t>)</m:t>
        </m:r>
      </m:oMath>
      <w:r>
        <w:t xml:space="preserve">, the weighted reduction in impurity is defined as</w:t>
      </w:r>
    </w:p>
    <w:p>
      <w:pPr>
        <w:pStyle w:val="BodyText"/>
      </w:pPr>
      <m:oMathPara>
        <m:oMathParaPr>
          <m:jc m:val="center"/>
        </m:oMathParaPr>
        <m:oMath>
          <m:sSub>
            <m:e>
              <m:r>
                <m:t>G</m:t>
              </m:r>
            </m:e>
            <m:sub>
              <m:r>
                <m:t>m</m:t>
              </m:r>
            </m:sub>
          </m:sSub>
          <m:r>
            <m:rPr>
              <m:sty m:val="p"/>
            </m:rPr>
            <m:t>(</m:t>
          </m:r>
          <m:r>
            <m:t>j</m:t>
          </m:r>
          <m:r>
            <m:rPr>
              <m:sty m:val="p"/>
            </m:rPr>
            <m:t>,</m:t>
          </m:r>
          <m:r>
            <m:t>s</m:t>
          </m:r>
          <m:r>
            <m:rPr>
              <m:sty m:val="p"/>
            </m:rPr>
            <m:t>,</m:t>
          </m:r>
          <m:r>
            <m:t>t</m:t>
          </m:r>
          <m:r>
            <m:rPr>
              <m:sty m:val="p"/>
            </m:rPr>
            <m:t>)</m:t>
          </m:r>
          <m:r>
            <m:rPr>
              <m:sty m:val="p"/>
            </m:rPr>
            <m:t>=</m:t>
          </m:r>
          <m:sSub>
            <m:e>
              <m:r>
                <m:t>I</m:t>
              </m:r>
            </m:e>
            <m:sub>
              <m:r>
                <m:t>m</m:t>
              </m:r>
            </m:sub>
          </m:sSub>
          <m:r>
            <m:rPr>
              <m:sty m:val="p"/>
            </m:rPr>
            <m:t>(</m:t>
          </m:r>
          <m:r>
            <m:t>t</m:t>
          </m:r>
          <m:r>
            <m:rPr>
              <m:sty m:val="p"/>
            </m:rPr>
            <m:t>)</m:t>
          </m:r>
          <m:r>
            <m:rPr>
              <m:sty m:val="p"/>
            </m:rPr>
            <m:t>−</m:t>
          </m:r>
          <m:d>
            <m:dPr>
              <m:begChr m:val="("/>
              <m:sepChr m:val=""/>
              <m:endChr m:val=")"/>
              <m:grow/>
            </m:dPr>
            <m:e>
              <m:f>
                <m:fPr>
                  <m:type m:val="bar"/>
                </m:fPr>
                <m:num>
                  <m:sSub>
                    <m:e>
                      <m:r>
                        <m:t>W</m:t>
                      </m:r>
                    </m:e>
                    <m:sub>
                      <m:sSub>
                        <m:e>
                          <m:r>
                            <m:t>t</m:t>
                          </m:r>
                        </m:e>
                        <m:sub>
                          <m:r>
                            <m:t>L</m:t>
                          </m:r>
                        </m:sub>
                      </m:sSub>
                      <m:r>
                        <m:rPr>
                          <m:sty m:val="p"/>
                        </m:rPr>
                        <m:t>(</m:t>
                      </m:r>
                      <m:r>
                        <m:t>j</m:t>
                      </m:r>
                      <m:r>
                        <m:rPr>
                          <m:sty m:val="p"/>
                        </m:rPr>
                        <m:t>,</m:t>
                      </m:r>
                      <m:r>
                        <m:t>s</m:t>
                      </m:r>
                      <m:r>
                        <m:rPr>
                          <m:sty m:val="p"/>
                        </m:rPr>
                        <m:t>)</m:t>
                      </m:r>
                    </m:sub>
                  </m:sSub>
                </m:num>
                <m:den>
                  <m:sSub>
                    <m:e>
                      <m:r>
                        <m:t>W</m:t>
                      </m:r>
                    </m:e>
                    <m:sub>
                      <m:r>
                        <m:t>t</m:t>
                      </m:r>
                    </m:sub>
                  </m:sSub>
                </m:den>
              </m:f>
              <m:sSub>
                <m:e>
                  <m:r>
                    <m:t>I</m:t>
                  </m:r>
                </m:e>
                <m:sub>
                  <m:r>
                    <m:t>m</m:t>
                  </m:r>
                </m:sub>
              </m:sSub>
              <m:r>
                <m:rPr>
                  <m:sty m:val="p"/>
                </m:rPr>
                <m:t>(</m:t>
              </m:r>
              <m:sSub>
                <m:e>
                  <m:r>
                    <m:t>t</m:t>
                  </m:r>
                </m:e>
                <m:sub>
                  <m:r>
                    <m:t>L</m:t>
                  </m:r>
                </m:sub>
              </m:sSub>
              <m:r>
                <m:rPr>
                  <m:sty m:val="p"/>
                </m:rPr>
                <m:t>(</m:t>
              </m:r>
              <m:r>
                <m:t>j</m:t>
              </m:r>
              <m:r>
                <m:rPr>
                  <m:sty m:val="p"/>
                </m:rPr>
                <m:t>,</m:t>
              </m:r>
              <m:r>
                <m:t>s</m:t>
              </m:r>
              <m:r>
                <m:rPr>
                  <m:sty m:val="p"/>
                </m:rPr>
                <m:t>)</m:t>
              </m:r>
              <m:r>
                <m:rPr>
                  <m:sty m:val="p"/>
                </m:rPr>
                <m:t>)</m:t>
              </m:r>
              <m:r>
                <m:rPr>
                  <m:sty m:val="p"/>
                </m:rPr>
                <m:t>+</m:t>
              </m:r>
              <m:f>
                <m:fPr>
                  <m:type m:val="bar"/>
                </m:fPr>
                <m:num>
                  <m:sSub>
                    <m:e>
                      <m:r>
                        <m:t>W</m:t>
                      </m:r>
                    </m:e>
                    <m:sub>
                      <m:sSub>
                        <m:e>
                          <m:r>
                            <m:t>t</m:t>
                          </m:r>
                        </m:e>
                        <m:sub>
                          <m:r>
                            <m:t>R</m:t>
                          </m:r>
                        </m:sub>
                      </m:sSub>
                      <m:r>
                        <m:rPr>
                          <m:sty m:val="p"/>
                        </m:rPr>
                        <m:t>(</m:t>
                      </m:r>
                      <m:r>
                        <m:t>j</m:t>
                      </m:r>
                      <m:r>
                        <m:rPr>
                          <m:sty m:val="p"/>
                        </m:rPr>
                        <m:t>,</m:t>
                      </m:r>
                      <m:r>
                        <m:t>s</m:t>
                      </m:r>
                      <m:r>
                        <m:rPr>
                          <m:sty m:val="p"/>
                        </m:rPr>
                        <m:t>)</m:t>
                      </m:r>
                    </m:sub>
                  </m:sSub>
                </m:num>
                <m:den>
                  <m:sSub>
                    <m:e>
                      <m:r>
                        <m:t>W</m:t>
                      </m:r>
                    </m:e>
                    <m:sub>
                      <m:r>
                        <m:t>t</m:t>
                      </m:r>
                    </m:sub>
                  </m:sSub>
                </m:den>
              </m:f>
              <m:sSub>
                <m:e>
                  <m:r>
                    <m:t>I</m:t>
                  </m:r>
                </m:e>
                <m:sub>
                  <m:r>
                    <m:t>m</m:t>
                  </m:r>
                </m:sub>
              </m:sSub>
              <m:r>
                <m:rPr>
                  <m:sty m:val="p"/>
                </m:rPr>
                <m:t>(</m:t>
              </m:r>
              <m:sSub>
                <m:e>
                  <m:r>
                    <m:t>t</m:t>
                  </m:r>
                </m:e>
                <m:sub>
                  <m:r>
                    <m:t>R</m:t>
                  </m:r>
                </m:sub>
              </m:sSub>
              <m:r>
                <m:rPr>
                  <m:sty m:val="p"/>
                </m:rPr>
                <m:t>(</m:t>
              </m:r>
              <m:r>
                <m:t>j</m:t>
              </m:r>
              <m:r>
                <m:rPr>
                  <m:sty m:val="p"/>
                </m:rPr>
                <m:t>,</m:t>
              </m:r>
              <m:r>
                <m:t>s</m:t>
              </m:r>
              <m:r>
                <m:rPr>
                  <m:sty m:val="p"/>
                </m:rPr>
                <m:t>)</m:t>
              </m:r>
              <m:r>
                <m:rPr>
                  <m:sty m:val="p"/>
                </m:rPr>
                <m:t>)</m:t>
              </m:r>
            </m:e>
          </m:d>
          <m:r>
            <m:rPr>
              <m:sty m:val="p"/>
            </m:rPr>
            <m:t>.</m:t>
          </m:r>
        </m:oMath>
      </m:oMathPara>
    </w:p>
    <w:p>
      <w:pPr>
        <w:pStyle w:val="FirstParagraph"/>
      </w:pPr>
      <m:oMath>
        <m:sSub>
          <m:e>
            <m:r>
              <m:t>I</m:t>
            </m:r>
          </m:e>
          <m:sub>
            <m:r>
              <m:t>m</m:t>
            </m:r>
          </m:sub>
        </m:sSub>
        <m:r>
          <m:rPr>
            <m:sty m:val="p"/>
          </m:rPr>
          <m:t>(</m:t>
        </m:r>
        <m:r>
          <m:t>t</m:t>
        </m:r>
        <m:r>
          <m:rPr>
            <m:sty m:val="p"/>
          </m:rPr>
          <m:t>)</m:t>
        </m:r>
      </m:oMath>
      <w:r>
        <w:t xml:space="preserve"> </w:t>
      </w:r>
      <w:r>
        <w:t xml:space="preserve">is the concentration-index impurity in the parent node, while</w:t>
      </w:r>
      <w:r>
        <w:t xml:space="preserve"> </w:t>
      </w:r>
      <m:oMath>
        <m:sSub>
          <m:e>
            <m:r>
              <m:t>I</m:t>
            </m:r>
          </m:e>
          <m:sub>
            <m:r>
              <m:t>m</m:t>
            </m:r>
          </m:sub>
        </m:sSub>
        <m:r>
          <m:rPr>
            <m:sty m:val="p"/>
          </m:rPr>
          <m:t>(</m:t>
        </m:r>
        <m:sSub>
          <m:e>
            <m:r>
              <m:t>t</m:t>
            </m:r>
          </m:e>
          <m:sub>
            <m:r>
              <m:t>L</m:t>
            </m:r>
          </m:sub>
        </m:sSub>
        <m:r>
          <m:rPr>
            <m:sty m:val="p"/>
          </m:rPr>
          <m:t>(</m:t>
        </m:r>
        <m:r>
          <m:t>j</m:t>
        </m:r>
        <m:r>
          <m:rPr>
            <m:sty m:val="p"/>
          </m:rPr>
          <m:t>,</m:t>
        </m:r>
        <m:r>
          <m:t>s</m:t>
        </m:r>
        <m:r>
          <m:rPr>
            <m:sty m:val="p"/>
          </m:rPr>
          <m:t>)</m:t>
        </m:r>
        <m:r>
          <m:rPr>
            <m:sty m:val="p"/>
          </m:rPr>
          <m:t>)</m:t>
        </m:r>
      </m:oMath>
      <w:r>
        <w:t xml:space="preserve"> </w:t>
      </w:r>
      <w:r>
        <w:t xml:space="preserve">and</w:t>
      </w:r>
      <w:r>
        <w:t xml:space="preserve"> </w:t>
      </w:r>
      <m:oMath>
        <m:sSub>
          <m:e>
            <m:r>
              <m:t>I</m:t>
            </m:r>
          </m:e>
          <m:sub>
            <m:r>
              <m:t>m</m:t>
            </m:r>
          </m:sub>
        </m:sSub>
        <m:r>
          <m:rPr>
            <m:sty m:val="p"/>
          </m:rPr>
          <m:t>(</m:t>
        </m:r>
        <m:sSub>
          <m:e>
            <m:r>
              <m:t>t</m:t>
            </m:r>
          </m:e>
          <m:sub>
            <m:r>
              <m:t>R</m:t>
            </m:r>
          </m:sub>
        </m:sSub>
        <m:r>
          <m:rPr>
            <m:sty m:val="p"/>
          </m:rPr>
          <m:t>(</m:t>
        </m:r>
        <m:r>
          <m:t>j</m:t>
        </m:r>
        <m:r>
          <m:rPr>
            <m:sty m:val="p"/>
          </m:rPr>
          <m:t>,</m:t>
        </m:r>
        <m:r>
          <m:t>s</m:t>
        </m:r>
        <m:r>
          <m:rPr>
            <m:sty m:val="p"/>
          </m:rPr>
          <m:t>)</m:t>
        </m:r>
        <m:r>
          <m:rPr>
            <m:sty m:val="p"/>
          </m:rPr>
          <m:t>)</m:t>
        </m:r>
      </m:oMath>
      <w:r>
        <w:t xml:space="preserve"> </w:t>
      </w:r>
      <w:r>
        <w:t xml:space="preserve">are the impurities in the two child nodes created by split</w:t>
      </w:r>
      <w:r>
        <w:t xml:space="preserve"> </w:t>
      </w:r>
      <m:oMath>
        <m:r>
          <m:rPr>
            <m:sty m:val="p"/>
          </m:rPr>
          <m:t>(</m:t>
        </m:r>
        <m:r>
          <m:t>j</m:t>
        </m:r>
        <m:r>
          <m:rPr>
            <m:sty m:val="p"/>
          </m:rPr>
          <m:t>,</m:t>
        </m:r>
        <m:r>
          <m:t>s</m:t>
        </m:r>
        <m:r>
          <m:rPr>
            <m:sty m:val="p"/>
          </m:rPr>
          <m:t>)</m:t>
        </m:r>
      </m:oMath>
      <w:r>
        <w:t xml:space="preserve">.</w:t>
      </w:r>
    </w:p>
    <w:p>
      <w:pPr>
        <w:pStyle w:val="BodyText"/>
      </w:pPr>
      <w:r>
        <w:t xml:space="preserve">In this implementation, the gain from a split is the reduction in weighted absolute concentration-index impurity from the parent node to the two child nodes. If a split sends observations into two groups where the weighted child concentration indices are closer to zero than the parent value, the split receives a positive gain. The tree, therefore, grows by selecting variables that reduce within-node socioeconomic inequality, rather than by selecting variables that minimise prediction error. After the split, the resulting child nodes can be compared by their outcome levels and remaining inequality. Since</w:t>
      </w:r>
      <w:r>
        <w:t xml:space="preserve"> </w:t>
      </w:r>
      <m:oMath>
        <m:sSub>
          <m:e>
            <m:r>
              <m:t>I</m:t>
            </m:r>
          </m:e>
          <m:sub>
            <m:r>
              <m:t>m</m:t>
            </m:r>
          </m:sub>
        </m:sSub>
        <m:r>
          <m:rPr>
            <m:sty m:val="p"/>
          </m:rPr>
          <m:t>(</m:t>
        </m:r>
        <m:r>
          <m:t>t</m:t>
        </m:r>
        <m:r>
          <m:rPr>
            <m:sty m:val="p"/>
          </m:rPr>
          <m:t>)</m:t>
        </m:r>
      </m:oMath>
      <w:r>
        <w:t xml:space="preserve"> </w:t>
      </w:r>
      <w:r>
        <w:t xml:space="preserve">is fixed for a given parent node, maximising</w:t>
      </w:r>
      <w:r>
        <w:t xml:space="preserve"> </w:t>
      </w:r>
      <m:oMath>
        <m:sSub>
          <m:e>
            <m:r>
              <m:t>G</m:t>
            </m:r>
          </m:e>
          <m:sub>
            <m:r>
              <m:t>m</m:t>
            </m:r>
          </m:sub>
        </m:sSub>
        <m:r>
          <m:rPr>
            <m:sty m:val="p"/>
          </m:rPr>
          <m:t>(</m:t>
        </m:r>
        <m:r>
          <m:t>j</m:t>
        </m:r>
        <m:r>
          <m:rPr>
            <m:sty m:val="p"/>
          </m:rPr>
          <m:t>,</m:t>
        </m:r>
        <m:r>
          <m:t>s</m:t>
        </m:r>
        <m:r>
          <m:rPr>
            <m:sty m:val="p"/>
          </m:rPr>
          <m:t>,</m:t>
        </m:r>
        <m:r>
          <m:t>t</m:t>
        </m:r>
        <m:r>
          <m:rPr>
            <m:sty m:val="p"/>
          </m:rPr>
          <m:t>)</m:t>
        </m:r>
      </m:oMath>
      <w:r>
        <w:t xml:space="preserve"> </w:t>
      </w:r>
      <w:r>
        <w:t xml:space="preserve">is the same as choosing the variable-split pair that leaves the least weighted inequality in the child nodes. The selected split is</w:t>
      </w:r>
    </w:p>
    <w:p>
      <w:pPr>
        <w:pStyle w:val="BodyText"/>
      </w:pPr>
      <m:oMathPara>
        <m:oMathParaPr>
          <m:jc m:val="center"/>
        </m:oMathParaPr>
        <m:oMath>
          <m:r>
            <m:rPr>
              <m:sty m:val="p"/>
            </m:rPr>
            <m:t>(</m:t>
          </m:r>
          <m:sSup>
            <m:e>
              <m:r>
                <m:t>j</m:t>
              </m:r>
            </m:e>
            <m:sup>
              <m:r>
                <m:rPr>
                  <m:sty m:val="p"/>
                </m:rPr>
                <m:t>*</m:t>
              </m:r>
            </m:sup>
          </m:sSup>
          <m:r>
            <m:rPr>
              <m:sty m:val="p"/>
            </m:rPr>
            <m:t>,</m:t>
          </m:r>
          <m:sSup>
            <m:e>
              <m:r>
                <m:t>s</m:t>
              </m:r>
            </m:e>
            <m:sup>
              <m:r>
                <m:rPr>
                  <m:sty m:val="p"/>
                </m:rPr>
                <m:t>*</m:t>
              </m:r>
            </m:sup>
          </m:sSup>
          <m:r>
            <m:rPr>
              <m:sty m:val="p"/>
            </m:rPr>
            <m:t>)</m:t>
          </m:r>
          <m:r>
            <m:rPr>
              <m:sty m:val="p"/>
            </m:rPr>
            <m:t>=</m:t>
          </m:r>
          <m:r>
            <m:rPr>
              <m:sty m:val="p"/>
            </m:rPr>
            <m:t>arg</m:t>
          </m:r>
          <m:limLow>
            <m:e>
              <m:r>
                <m:rPr>
                  <m:sty m:val="p"/>
                </m:rPr>
                <m:t>max</m:t>
              </m:r>
            </m:e>
            <m:lim>
              <m:r>
                <m:t>j</m:t>
              </m:r>
              <m:r>
                <m:rPr>
                  <m:sty m:val="p"/>
                </m:rPr>
                <m:t>∈</m:t>
              </m:r>
              <m:sSub>
                <m:e>
                  <m:r>
                    <m:rPr>
                      <m:scr m:val="script"/>
                      <m:sty m:val="p"/>
                    </m:rPr>
                    <m:t>J</m:t>
                  </m:r>
                </m:e>
                <m:sub>
                  <m:r>
                    <m:t>t</m:t>
                  </m:r>
                </m:sub>
              </m:sSub>
              <m:r>
                <m:rPr>
                  <m:sty m:val="p"/>
                </m:rPr>
                <m:t>,</m:t>
              </m:r>
              <m:r>
                <m:t> </m:t>
              </m:r>
              <m:r>
                <m:t>s</m:t>
              </m:r>
              <m:r>
                <m:rPr>
                  <m:sty m:val="p"/>
                </m:rPr>
                <m:t>∈</m:t>
              </m:r>
              <m:sSub>
                <m:e>
                  <m:r>
                    <m:rPr>
                      <m:scr m:val="script"/>
                      <m:sty m:val="p"/>
                    </m:rPr>
                    <m:t>S</m:t>
                  </m:r>
                </m:e>
                <m:sub>
                  <m:r>
                    <m:t>j</m:t>
                  </m:r>
                  <m:r>
                    <m:t>t</m:t>
                  </m:r>
                </m:sub>
              </m:sSub>
            </m:lim>
          </m:limLow>
          <m:sSub>
            <m:e>
              <m:r>
                <m:t>G</m:t>
              </m:r>
            </m:e>
            <m:sub>
              <m:r>
                <m:t>m</m:t>
              </m:r>
            </m:sub>
          </m:sSub>
          <m:r>
            <m:rPr>
              <m:sty m:val="p"/>
            </m:rPr>
            <m:t>(</m:t>
          </m:r>
          <m:r>
            <m:t>j</m:t>
          </m:r>
          <m:r>
            <m:rPr>
              <m:sty m:val="p"/>
            </m:rPr>
            <m:t>,</m:t>
          </m:r>
          <m:r>
            <m:t>s</m:t>
          </m:r>
          <m:r>
            <m:rPr>
              <m:sty m:val="p"/>
            </m:rPr>
            <m:t>,</m:t>
          </m:r>
          <m:r>
            <m:t>t</m:t>
          </m:r>
          <m:r>
            <m:rPr>
              <m:sty m:val="p"/>
            </m:rPr>
            <m:t>)</m:t>
          </m:r>
          <m:r>
            <m:rPr>
              <m:sty m:val="p"/>
            </m:rPr>
            <m:t>.</m:t>
          </m:r>
        </m:oMath>
      </m:oMathPara>
    </w:p>
    <w:p>
      <w:pPr>
        <w:pStyle w:val="FirstParagraph"/>
      </w:pPr>
      <w:r>
        <w:t xml:space="preserve">The selected split is the candidate pair</w:t>
      </w:r>
      <w:r>
        <w:t xml:space="preserve"> </w:t>
      </w:r>
      <m:oMath>
        <m:r>
          <m:rPr>
            <m:sty m:val="p"/>
          </m:rPr>
          <m:t>(</m:t>
        </m:r>
        <m:r>
          <m:t>j</m:t>
        </m:r>
        <m:r>
          <m:rPr>
            <m:sty m:val="p"/>
          </m:rPr>
          <m:t>,</m:t>
        </m:r>
        <m:r>
          <m:t>s</m:t>
        </m:r>
        <m:r>
          <m:rPr>
            <m:sty m:val="p"/>
          </m:rPr>
          <m:t>)</m:t>
        </m:r>
      </m:oMath>
      <w:r>
        <w:t xml:space="preserve"> </w:t>
      </w:r>
      <w:r>
        <w:t xml:space="preserve">with the largest admissible gain.</w:t>
      </w:r>
    </w:p>
    <w:bookmarkEnd w:id="29"/>
    <w:bookmarkEnd w:id="30"/>
    <w:bookmarkStart w:id="33" w:name="sec-split-behaviour-impurity"/>
    <w:p>
      <w:pPr>
        <w:pStyle w:val="Heading3"/>
      </w:pPr>
      <w:r>
        <w:t xml:space="preserve">Split behaviour under alternative concentration-based impurity measures</w:t>
      </w:r>
    </w:p>
    <w:p>
      <w:pPr>
        <w:pStyle w:val="FirstParagraph"/>
      </w:pPr>
      <w:r>
        <w:t xml:space="preserve">The impurity measure is not separate from the gain function. It enters directly into the definition of the gain. Once an impurity measure has been chosen, the gain function uses that measure to compare and rank all admissible candidate splits at the current node.</w:t>
      </w:r>
    </w:p>
    <w:p>
      <w:pPr>
        <w:pStyle w:val="BodyText"/>
      </w:pPr>
      <w:r>
        <w:t xml:space="preserve">For a candidate split</w:t>
      </w:r>
      <w:r>
        <w:t xml:space="preserve"> </w:t>
      </w:r>
      <m:oMath>
        <m:r>
          <m:rPr>
            <m:sty m:val="p"/>
          </m:rPr>
          <m:t>(</m:t>
        </m:r>
        <m:r>
          <m:t>j</m:t>
        </m:r>
        <m:r>
          <m:rPr>
            <m:sty m:val="p"/>
          </m:rPr>
          <m:t>,</m:t>
        </m:r>
        <m:r>
          <m:t>s</m:t>
        </m:r>
        <m:r>
          <m:rPr>
            <m:sty m:val="p"/>
          </m:rPr>
          <m:t>)</m:t>
        </m:r>
      </m:oMath>
      <w:r>
        <w:t xml:space="preserve"> </w:t>
      </w:r>
      <w:r>
        <w:t xml:space="preserve">at node</w:t>
      </w:r>
      <w:r>
        <w:t xml:space="preserve"> </w:t>
      </w:r>
      <m:oMath>
        <m:r>
          <m:t>t</m:t>
        </m:r>
      </m:oMath>
      <w:r>
        <w:t xml:space="preserve">, the gain under impurity measure</w:t>
      </w:r>
      <w:r>
        <w:t xml:space="preserve"> </w:t>
      </w:r>
      <m:oMath>
        <m:r>
          <m:t>m</m:t>
        </m:r>
      </m:oMath>
      <w:r>
        <w:t xml:space="preserve"> </w:t>
      </w:r>
      <w:r>
        <w:t xml:space="preserve">is</w:t>
      </w:r>
    </w:p>
    <w:p>
      <w:pPr>
        <w:pStyle w:val="BodyText"/>
      </w:pPr>
      <m:oMathPara>
        <m:oMathParaPr>
          <m:jc m:val="center"/>
        </m:oMathParaPr>
        <m:oMath>
          <m:sSub>
            <m:e>
              <m:r>
                <m:t>G</m:t>
              </m:r>
            </m:e>
            <m:sub>
              <m:r>
                <m:t>m</m:t>
              </m:r>
            </m:sub>
          </m:sSub>
          <m:r>
            <m:rPr>
              <m:sty m:val="p"/>
            </m:rPr>
            <m:t>(</m:t>
          </m:r>
          <m:r>
            <m:t>j</m:t>
          </m:r>
          <m:r>
            <m:rPr>
              <m:sty m:val="p"/>
            </m:rPr>
            <m:t>,</m:t>
          </m:r>
          <m:r>
            <m:t>s</m:t>
          </m:r>
          <m:r>
            <m:rPr>
              <m:sty m:val="p"/>
            </m:rPr>
            <m:t>,</m:t>
          </m:r>
          <m:r>
            <m:t>t</m:t>
          </m:r>
          <m:r>
            <m:rPr>
              <m:sty m:val="p"/>
            </m:rPr>
            <m:t>)</m:t>
          </m:r>
          <m:r>
            <m:rPr>
              <m:sty m:val="p"/>
            </m:rPr>
            <m:t>=</m:t>
          </m:r>
          <m:sSub>
            <m:e>
              <m:r>
                <m:t>I</m:t>
              </m:r>
            </m:e>
            <m:sub>
              <m:r>
                <m:t>m</m:t>
              </m:r>
            </m:sub>
          </m:sSub>
          <m:r>
            <m:rPr>
              <m:sty m:val="p"/>
            </m:rPr>
            <m:t>(</m:t>
          </m:r>
          <m:r>
            <m:t>t</m:t>
          </m:r>
          <m:r>
            <m:rPr>
              <m:sty m:val="p"/>
            </m:rPr>
            <m:t>)</m:t>
          </m:r>
          <m:r>
            <m:rPr>
              <m:sty m:val="p"/>
            </m:rPr>
            <m:t>−</m:t>
          </m:r>
          <m:d>
            <m:dPr>
              <m:begChr m:val="["/>
              <m:sepChr m:val=""/>
              <m:endChr m:val="]"/>
              <m:grow/>
            </m:dPr>
            <m:e>
              <m:sSub>
                <m:e>
                  <m:r>
                    <m:t>p</m:t>
                  </m:r>
                </m:e>
                <m:sub>
                  <m:r>
                    <m:t>L</m:t>
                  </m:r>
                </m:sub>
              </m:sSub>
              <m:sSub>
                <m:e>
                  <m:r>
                    <m:t>I</m:t>
                  </m:r>
                </m:e>
                <m:sub>
                  <m:r>
                    <m:t>m</m:t>
                  </m:r>
                </m:sub>
              </m:sSub>
              <m:r>
                <m:rPr>
                  <m:sty m:val="p"/>
                </m:rPr>
                <m:t>(</m:t>
              </m:r>
              <m:sSub>
                <m:e>
                  <m:r>
                    <m:t>t</m:t>
                  </m:r>
                </m:e>
                <m:sub>
                  <m:r>
                    <m:t>L</m:t>
                  </m:r>
                </m:sub>
              </m:sSub>
              <m:r>
                <m:rPr>
                  <m:sty m:val="p"/>
                </m:rPr>
                <m:t>)</m:t>
              </m:r>
              <m:r>
                <m:rPr>
                  <m:sty m:val="p"/>
                </m:rPr>
                <m:t>+</m:t>
              </m:r>
              <m:sSub>
                <m:e>
                  <m:r>
                    <m:t>p</m:t>
                  </m:r>
                </m:e>
                <m:sub>
                  <m:r>
                    <m:t>R</m:t>
                  </m:r>
                </m:sub>
              </m:sSub>
              <m:sSub>
                <m:e>
                  <m:r>
                    <m:t>I</m:t>
                  </m:r>
                </m:e>
                <m:sub>
                  <m:r>
                    <m:t>m</m:t>
                  </m:r>
                </m:sub>
              </m:sSub>
              <m:r>
                <m:rPr>
                  <m:sty m:val="p"/>
                </m:rPr>
                <m:t>(</m:t>
              </m:r>
              <m:sSub>
                <m:e>
                  <m:r>
                    <m:t>t</m:t>
                  </m:r>
                </m:e>
                <m:sub>
                  <m:r>
                    <m:t>R</m:t>
                  </m:r>
                </m:sub>
              </m:sSub>
              <m:r>
                <m:rPr>
                  <m:sty m:val="p"/>
                </m:rPr>
                <m:t>)</m:t>
              </m:r>
            </m:e>
          </m:d>
          <m:r>
            <m:rPr>
              <m:sty m:val="p"/>
            </m:rPr>
            <m:t>,</m:t>
          </m:r>
        </m:oMath>
      </m:oMathPara>
    </w:p>
    <w:p>
      <w:pPr>
        <w:pStyle w:val="FirstParagraph"/>
      </w:pPr>
      <w:r>
        <w:t xml:space="preserve">where</w:t>
      </w:r>
      <w:r>
        <w:t xml:space="preserve"> </w:t>
      </w:r>
      <m:oMath>
        <m:sSub>
          <m:e>
            <m:r>
              <m:t>I</m:t>
            </m:r>
          </m:e>
          <m:sub>
            <m:r>
              <m:t>m</m:t>
            </m:r>
          </m:sub>
        </m:sSub>
        <m:r>
          <m:rPr>
            <m:sty m:val="p"/>
          </m:rPr>
          <m:t>(</m:t>
        </m:r>
        <m:r>
          <m:t>t</m:t>
        </m:r>
        <m:r>
          <m:rPr>
            <m:sty m:val="p"/>
          </m:rPr>
          <m:t>)</m:t>
        </m:r>
      </m:oMath>
      <w:r>
        <w:t xml:space="preserve"> </w:t>
      </w:r>
      <w:r>
        <w:t xml:space="preserve">is the impurity of the parent node, and</w:t>
      </w:r>
      <w:r>
        <w:t xml:space="preserve"> </w:t>
      </w:r>
      <m:oMath>
        <m:sSub>
          <m:e>
            <m:r>
              <m:t>I</m:t>
            </m:r>
          </m:e>
          <m:sub>
            <m:r>
              <m:t>m</m:t>
            </m:r>
          </m:sub>
        </m:sSub>
        <m:r>
          <m:rPr>
            <m:sty m:val="p"/>
          </m:rPr>
          <m:t>(</m:t>
        </m:r>
        <m:sSub>
          <m:e>
            <m:r>
              <m:t>t</m:t>
            </m:r>
          </m:e>
          <m:sub>
            <m:r>
              <m:t>L</m:t>
            </m:r>
          </m:sub>
        </m:sSub>
        <m:r>
          <m:rPr>
            <m:sty m:val="p"/>
          </m:rPr>
          <m:t>)</m:t>
        </m:r>
      </m:oMath>
      <w:r>
        <w:t xml:space="preserve"> </w:t>
      </w:r>
      <w:r>
        <w:t xml:space="preserve">and</w:t>
      </w:r>
      <w:r>
        <w:t xml:space="preserve"> </w:t>
      </w:r>
      <m:oMath>
        <m:sSub>
          <m:e>
            <m:r>
              <m:t>I</m:t>
            </m:r>
          </m:e>
          <m:sub>
            <m:r>
              <m:t>m</m:t>
            </m:r>
          </m:sub>
        </m:sSub>
        <m:r>
          <m:rPr>
            <m:sty m:val="p"/>
          </m:rPr>
          <m:t>(</m:t>
        </m:r>
        <m:sSub>
          <m:e>
            <m:r>
              <m:t>t</m:t>
            </m:r>
          </m:e>
          <m:sub>
            <m:r>
              <m:t>R</m:t>
            </m:r>
          </m:sub>
        </m:sSub>
        <m:r>
          <m:rPr>
            <m:sty m:val="p"/>
          </m:rPr>
          <m:t>)</m:t>
        </m:r>
      </m:oMath>
      <w:r>
        <w:t xml:space="preserve"> </w:t>
      </w:r>
      <w:r>
        <w:t xml:space="preserve">are the impurities of the left and right child nodes, the terms</w:t>
      </w:r>
      <w:r>
        <w:t xml:space="preserve"> </w:t>
      </w:r>
      <m:oMath>
        <m:sSub>
          <m:e>
            <m:r>
              <m:t>p</m:t>
            </m:r>
          </m:e>
          <m:sub>
            <m:r>
              <m:t>L</m:t>
            </m:r>
          </m:sub>
        </m:sSub>
      </m:oMath>
      <w:r>
        <w:t xml:space="preserve"> </w:t>
      </w:r>
      <w:r>
        <w:t xml:space="preserve">and</w:t>
      </w:r>
      <w:r>
        <w:t xml:space="preserve"> </w:t>
      </w:r>
      <m:oMath>
        <m:sSub>
          <m:e>
            <m:r>
              <m:t>p</m:t>
            </m:r>
          </m:e>
          <m:sub>
            <m:r>
              <m:t>R</m:t>
            </m:r>
          </m:sub>
        </m:sSub>
      </m:oMath>
      <w:r>
        <w:t xml:space="preserve"> </w:t>
      </w:r>
      <w:r>
        <w:t xml:space="preserve">weight the child-node impurities by their survey-weighted node sizes.</w:t>
      </w:r>
    </w:p>
    <w:p>
      <w:pPr>
        <w:pStyle w:val="BodyText"/>
      </w:pPr>
      <w:r>
        <w:t xml:space="preserve">At a fixed parent node,</w:t>
      </w:r>
      <w:r>
        <w:t xml:space="preserve"> </w:t>
      </w:r>
      <m:oMath>
        <m:sSub>
          <m:e>
            <m:r>
              <m:t>I</m:t>
            </m:r>
          </m:e>
          <m:sub>
            <m:r>
              <m:t>m</m:t>
            </m:r>
          </m:sub>
        </m:sSub>
        <m:r>
          <m:rPr>
            <m:sty m:val="p"/>
          </m:rPr>
          <m:t>(</m:t>
        </m:r>
        <m:r>
          <m:t>t</m:t>
        </m:r>
        <m:r>
          <m:rPr>
            <m:sty m:val="p"/>
          </m:rPr>
          <m:t>)</m:t>
        </m:r>
      </m:oMath>
      <w:r>
        <w:t xml:space="preserve"> </w:t>
      </w:r>
      <w:r>
        <w:t xml:space="preserve">is the same for all candidate splits evaluated under the same impurity measure. Therefore, maximising the gain is equivalent to minimising the weighted impurity left in the child nodes:</w:t>
      </w:r>
    </w:p>
    <w:p>
      <w:pPr>
        <w:pStyle w:val="BodyText"/>
      </w:pPr>
      <m:oMathPara>
        <m:oMathParaPr>
          <m:jc m:val="center"/>
        </m:oMathParaPr>
        <m:oMath>
          <m:sSub>
            <m:e>
              <m:r>
                <m:t>p</m:t>
              </m:r>
            </m:e>
            <m:sub>
              <m:r>
                <m:t>L</m:t>
              </m:r>
            </m:sub>
          </m:sSub>
          <m:sSub>
            <m:e>
              <m:r>
                <m:t>I</m:t>
              </m:r>
            </m:e>
            <m:sub>
              <m:r>
                <m:t>m</m:t>
              </m:r>
            </m:sub>
          </m:sSub>
          <m:r>
            <m:rPr>
              <m:sty m:val="p"/>
            </m:rPr>
            <m:t>(</m:t>
          </m:r>
          <m:sSub>
            <m:e>
              <m:r>
                <m:t>t</m:t>
              </m:r>
            </m:e>
            <m:sub>
              <m:r>
                <m:t>L</m:t>
              </m:r>
            </m:sub>
          </m:sSub>
          <m:r>
            <m:rPr>
              <m:sty m:val="p"/>
            </m:rPr>
            <m:t>)</m:t>
          </m:r>
          <m:r>
            <m:rPr>
              <m:sty m:val="p"/>
            </m:rPr>
            <m:t>+</m:t>
          </m:r>
          <m:sSub>
            <m:e>
              <m:r>
                <m:t>p</m:t>
              </m:r>
            </m:e>
            <m:sub>
              <m:r>
                <m:t>R</m:t>
              </m:r>
            </m:sub>
          </m:sSub>
          <m:sSub>
            <m:e>
              <m:r>
                <m:t>I</m:t>
              </m:r>
            </m:e>
            <m:sub>
              <m:r>
                <m:t>m</m:t>
              </m:r>
            </m:sub>
          </m:sSub>
          <m:r>
            <m:rPr>
              <m:sty m:val="p"/>
            </m:rPr>
            <m:t>(</m:t>
          </m:r>
          <m:sSub>
            <m:e>
              <m:r>
                <m:t>t</m:t>
              </m:r>
            </m:e>
            <m:sub>
              <m:r>
                <m:t>R</m:t>
              </m:r>
            </m:sub>
          </m:sSub>
          <m:r>
            <m:rPr>
              <m:sty m:val="p"/>
            </m:rPr>
            <m:t>)</m:t>
          </m:r>
          <m:r>
            <m:rPr>
              <m:sty m:val="p"/>
            </m:rPr>
            <m:t>.</m:t>
          </m:r>
        </m:oMath>
      </m:oMathPara>
    </w:p>
    <w:p>
      <w:pPr>
        <w:pStyle w:val="FirstParagraph"/>
      </w:pPr>
      <w:r>
        <w:t xml:space="preserve">Thus, the impurity measure affects the gain function, which in turn ranks candidate splits. The concentration indices here are impurity measures that are intended to be reduced. Under the standard concentration index rule, the child-node impurity is relative to the child-node mean:</w:t>
      </w:r>
    </w:p>
    <w:p>
      <w:pPr>
        <w:pStyle w:val="BodyText"/>
      </w:pPr>
      <m:oMathPara>
        <m:oMathParaPr>
          <m:jc m:val="center"/>
        </m:oMathParaPr>
        <m:oMath>
          <m:sSub>
            <m:e>
              <m:r>
                <m:t>p</m:t>
              </m:r>
            </m:e>
            <m:sub>
              <m:r>
                <m:t>L</m:t>
              </m:r>
            </m:sub>
          </m:sSub>
          <m:f>
            <m:fPr>
              <m:type m:val="bar"/>
            </m:fPr>
            <m:num>
              <m:sSub>
                <m:e>
                  <m:r>
                    <m:t>A</m:t>
                  </m:r>
                </m:e>
                <m:sub>
                  <m:sSub>
                    <m:e>
                      <m:r>
                        <m:t>t</m:t>
                      </m:r>
                    </m:e>
                    <m:sub>
                      <m:r>
                        <m:t>L</m:t>
                      </m:r>
                    </m:sub>
                  </m:sSub>
                </m:sub>
              </m:sSub>
            </m:num>
            <m:den>
              <m:sSub>
                <m:e>
                  <m:r>
                    <m:t>μ</m:t>
                  </m:r>
                </m:e>
                <m:sub>
                  <m:sSub>
                    <m:e>
                      <m:r>
                        <m:t>t</m:t>
                      </m:r>
                    </m:e>
                    <m:sub>
                      <m:r>
                        <m:t>L</m:t>
                      </m:r>
                    </m:sub>
                  </m:sSub>
                </m:sub>
              </m:sSub>
            </m:den>
          </m:f>
          <m:r>
            <m:rPr>
              <m:sty m:val="p"/>
            </m:rPr>
            <m:t>+</m:t>
          </m:r>
          <m:sSub>
            <m:e>
              <m:r>
                <m:t>p</m:t>
              </m:r>
            </m:e>
            <m:sub>
              <m:r>
                <m:t>R</m:t>
              </m:r>
            </m:sub>
          </m:sSub>
          <m:f>
            <m:fPr>
              <m:type m:val="bar"/>
            </m:fPr>
            <m:num>
              <m:sSub>
                <m:e>
                  <m:r>
                    <m:t>A</m:t>
                  </m:r>
                </m:e>
                <m:sub>
                  <m:sSub>
                    <m:e>
                      <m:r>
                        <m:t>t</m:t>
                      </m:r>
                    </m:e>
                    <m:sub>
                      <m:r>
                        <m:t>R</m:t>
                      </m:r>
                    </m:sub>
                  </m:sSub>
                </m:sub>
              </m:sSub>
            </m:num>
            <m:den>
              <m:sSub>
                <m:e>
                  <m:r>
                    <m:t>μ</m:t>
                  </m:r>
                </m:e>
                <m:sub>
                  <m:sSub>
                    <m:e>
                      <m:r>
                        <m:t>t</m:t>
                      </m:r>
                    </m:e>
                    <m:sub>
                      <m:r>
                        <m:t>R</m:t>
                      </m:r>
                    </m:sub>
                  </m:sSub>
                </m:sub>
              </m:sSub>
            </m:den>
          </m:f>
          <m:r>
            <m:rPr>
              <m:sty m:val="p"/>
            </m:rPr>
            <m:t>.</m:t>
          </m:r>
        </m:oMath>
      </m:oMathPara>
    </w:p>
    <w:p>
      <w:pPr>
        <w:pStyle w:val="FirstParagraph"/>
      </w:pPr>
      <w:r>
        <w:t xml:space="preserve">Under the generalised concentration index rule, the criterion remains on the absolute scale:</w:t>
      </w:r>
    </w:p>
    <w:p>
      <w:pPr>
        <w:pStyle w:val="BodyText"/>
      </w:pPr>
      <m:oMathPara>
        <m:oMathParaPr>
          <m:jc m:val="center"/>
        </m:oMathParaPr>
        <m:oMath>
          <m:sSub>
            <m:e>
              <m:r>
                <m:t>p</m:t>
              </m:r>
            </m:e>
            <m:sub>
              <m:r>
                <m:t>L</m:t>
              </m:r>
            </m:sub>
          </m:sSub>
          <m:sSub>
            <m:e>
              <m:r>
                <m:t>A</m:t>
              </m:r>
            </m:e>
            <m:sub>
              <m:sSub>
                <m:e>
                  <m:r>
                    <m:t>t</m:t>
                  </m:r>
                </m:e>
                <m:sub>
                  <m:r>
                    <m:t>L</m:t>
                  </m:r>
                </m:sub>
              </m:sSub>
            </m:sub>
          </m:sSub>
          <m:r>
            <m:rPr>
              <m:sty m:val="p"/>
            </m:rPr>
            <m:t>+</m:t>
          </m:r>
          <m:sSub>
            <m:e>
              <m:r>
                <m:t>p</m:t>
              </m:r>
            </m:e>
            <m:sub>
              <m:r>
                <m:t>R</m:t>
              </m:r>
            </m:sub>
          </m:sSub>
          <m:sSub>
            <m:e>
              <m:r>
                <m:t>A</m:t>
              </m:r>
            </m:e>
            <m:sub>
              <m:sSub>
                <m:e>
                  <m:r>
                    <m:t>t</m:t>
                  </m:r>
                </m:e>
                <m:sub>
                  <m:r>
                    <m:t>R</m:t>
                  </m:r>
                </m:sub>
              </m:sSub>
            </m:sub>
          </m:sSub>
          <m:r>
            <m:rPr>
              <m:sty m:val="p"/>
            </m:rPr>
            <m:t>.</m:t>
          </m:r>
        </m:oMath>
      </m:oMathPara>
    </w:p>
    <w:p>
      <w:pPr>
        <w:pStyle w:val="FirstParagraph"/>
      </w:pPr>
      <w:r>
        <w:t xml:space="preserve">Because the child-node means</w:t>
      </w:r>
      <w:r>
        <w:t xml:space="preserve"> </w:t>
      </w:r>
      <m:oMath>
        <m:sSub>
          <m:e>
            <m:r>
              <m:t>μ</m:t>
            </m:r>
          </m:e>
          <m:sub>
            <m:sSub>
              <m:e>
                <m:r>
                  <m:t>t</m:t>
                </m:r>
              </m:e>
              <m:sub>
                <m:r>
                  <m:t>L</m:t>
                </m:r>
              </m:sub>
            </m:sSub>
          </m:sub>
        </m:sSub>
      </m:oMath>
      <w:r>
        <w:t xml:space="preserve"> </w:t>
      </w:r>
      <w:r>
        <w:t xml:space="preserve">and</w:t>
      </w:r>
      <w:r>
        <w:t xml:space="preserve"> </w:t>
      </w:r>
      <m:oMath>
        <m:sSub>
          <m:e>
            <m:r>
              <m:t>μ</m:t>
            </m:r>
          </m:e>
          <m:sub>
            <m:sSub>
              <m:e>
                <m:r>
                  <m:t>t</m:t>
                </m:r>
              </m:e>
              <m:sub>
                <m:r>
                  <m:t>R</m:t>
                </m:r>
              </m:sub>
            </m:sSub>
          </m:sub>
        </m:sSub>
      </m:oMath>
      <w:r>
        <w:t xml:space="preserve"> </w:t>
      </w:r>
      <w:r>
        <w:t xml:space="preserve">can vary across candidate splits, the</w:t>
      </w:r>
      <w:r>
        <w:t xml:space="preserve"> </w:t>
      </w:r>
      <m:oMath>
        <m:r>
          <m:t>C</m:t>
        </m:r>
        <m:r>
          <m:t>I</m:t>
        </m:r>
      </m:oMath>
      <w:r>
        <w:t xml:space="preserve"> </w:t>
      </w:r>
      <w:r>
        <w:t xml:space="preserve">and</w:t>
      </w:r>
      <w:r>
        <w:t xml:space="preserve"> </w:t>
      </w:r>
      <m:oMath>
        <m:r>
          <m:t>C</m:t>
        </m:r>
        <m:r>
          <m:t>I</m:t>
        </m:r>
        <m:r>
          <m:t>g</m:t>
        </m:r>
      </m:oMath>
      <w:r>
        <w:t xml:space="preserve"> </w:t>
      </w:r>
      <w:r>
        <w:t xml:space="preserve">rules may rank the same splits differently. The corrected concentration index</w:t>
      </w:r>
      <w:r>
        <w:t xml:space="preserve"> </w:t>
      </w:r>
      <m:oMath>
        <m:r>
          <m:t>C</m:t>
        </m:r>
        <m:r>
          <m:t>I</m:t>
        </m:r>
        <m:r>
          <m:t>c</m:t>
        </m:r>
      </m:oMath>
      <w:r>
        <w:t xml:space="preserve"> </w:t>
      </w:r>
      <w:r>
        <w:t xml:space="preserve">is different in scale but not in ordering when the outcome range</w:t>
      </w:r>
      <w:r>
        <w:t xml:space="preserve"> </w:t>
      </w:r>
      <m:oMath>
        <m:r>
          <m:rPr>
            <m:sty m:val="p"/>
          </m:rPr>
          <m:t>[</m:t>
        </m:r>
        <m:r>
          <m:t>a</m:t>
        </m:r>
        <m:r>
          <m:rPr>
            <m:sty m:val="p"/>
          </m:rPr>
          <m:t>,</m:t>
        </m:r>
        <m:r>
          <m:t>b</m:t>
        </m:r>
        <m:r>
          <m:rPr>
            <m:sty m:val="p"/>
          </m:rPr>
          <m:t>]</m:t>
        </m:r>
      </m:oMath>
      <w:r>
        <w:t xml:space="preserve"> </w:t>
      </w:r>
      <w:r>
        <w:t xml:space="preserve">is fixed, since</w:t>
      </w:r>
    </w:p>
    <w:p>
      <w:pPr>
        <w:pStyle w:val="BodyText"/>
      </w:pPr>
      <m:oMathPara>
        <m:oMathParaPr>
          <m:jc m:val="center"/>
        </m:oMathParaPr>
        <m:oMath>
          <m:sSub>
            <m:e>
              <m:r>
                <m:t>G</m:t>
              </m:r>
            </m:e>
            <m:sub>
              <m:r>
                <m:t>C</m:t>
              </m:r>
              <m:r>
                <m:t>I</m:t>
              </m:r>
              <m:r>
                <m:t>c</m:t>
              </m:r>
            </m:sub>
          </m:sSub>
          <m:r>
            <m:rPr>
              <m:sty m:val="p"/>
            </m:rPr>
            <m:t>(</m:t>
          </m:r>
          <m:r>
            <m:t>j</m:t>
          </m:r>
          <m:r>
            <m:rPr>
              <m:sty m:val="p"/>
            </m:rPr>
            <m:t>,</m:t>
          </m:r>
          <m:r>
            <m:t>s</m:t>
          </m:r>
          <m:r>
            <m:rPr>
              <m:sty m:val="p"/>
            </m:rPr>
            <m:t>,</m:t>
          </m:r>
          <m:r>
            <m:t>t</m:t>
          </m:r>
          <m:r>
            <m:rPr>
              <m:sty m:val="p"/>
            </m:rPr>
            <m:t>)</m:t>
          </m:r>
          <m:r>
            <m:rPr>
              <m:sty m:val="p"/>
            </m:rPr>
            <m:t>=</m:t>
          </m:r>
          <m:f>
            <m:fPr>
              <m:type m:val="bar"/>
            </m:fPr>
            <m:num>
              <m:r>
                <m:t>4</m:t>
              </m:r>
            </m:num>
            <m:den>
              <m:r>
                <m:t>b</m:t>
              </m:r>
              <m:r>
                <m:rPr>
                  <m:sty m:val="p"/>
                </m:rPr>
                <m:t>−</m:t>
              </m:r>
              <m:r>
                <m:t>a</m:t>
              </m:r>
            </m:den>
          </m:f>
          <m:sSub>
            <m:e>
              <m:r>
                <m:t>G</m:t>
              </m:r>
            </m:e>
            <m:sub>
              <m:r>
                <m:t>C</m:t>
              </m:r>
              <m:r>
                <m:t>I</m:t>
              </m:r>
              <m:r>
                <m:t>g</m:t>
              </m:r>
            </m:sub>
          </m:sSub>
          <m:r>
            <m:rPr>
              <m:sty m:val="p"/>
            </m:rPr>
            <m:t>(</m:t>
          </m:r>
          <m:r>
            <m:t>j</m:t>
          </m:r>
          <m:r>
            <m:rPr>
              <m:sty m:val="p"/>
            </m:rPr>
            <m:t>,</m:t>
          </m:r>
          <m:r>
            <m:t>s</m:t>
          </m:r>
          <m:r>
            <m:rPr>
              <m:sty m:val="p"/>
            </m:rPr>
            <m:t>,</m:t>
          </m:r>
          <m:r>
            <m:t>t</m:t>
          </m:r>
          <m:r>
            <m:rPr>
              <m:sty m:val="p"/>
            </m:rPr>
            <m:t>)</m:t>
          </m:r>
          <m:r>
            <m:rPr>
              <m:sty m:val="p"/>
            </m:rPr>
            <m:t>.</m:t>
          </m:r>
        </m:oMath>
      </m:oMathPara>
    </w:p>
    <w:p>
      <w:pPr>
        <w:pStyle w:val="FirstParagraph"/>
      </w:pPr>
      <m:oMath>
        <m:f>
          <m:fPr>
            <m:type m:val="bar"/>
          </m:fPr>
          <m:num>
            <m:r>
              <m:t>4</m:t>
            </m:r>
          </m:num>
          <m:den>
            <m:r>
              <m:t>b</m:t>
            </m:r>
            <m:r>
              <m:rPr>
                <m:sty m:val="p"/>
              </m:rPr>
              <m:t>−</m:t>
            </m:r>
            <m:r>
              <m:t>a</m:t>
            </m:r>
          </m:den>
        </m:f>
      </m:oMath>
      <w:r>
        <w:t xml:space="preserve"> </w:t>
      </w:r>
      <w:r>
        <w:t xml:space="preserve">is positive and independent of the candidate split. Therefore,</w:t>
      </w:r>
      <w:r>
        <w:t xml:space="preserve"> </w:t>
      </w:r>
      <m:oMath>
        <m:r>
          <m:t>C</m:t>
        </m:r>
        <m:r>
          <m:t>I</m:t>
        </m:r>
        <m:r>
          <m:t>c</m:t>
        </m:r>
      </m:oMath>
      <w:r>
        <w:t xml:space="preserve"> </w:t>
      </w:r>
      <w:r>
        <w:t xml:space="preserve">and</w:t>
      </w:r>
      <w:r>
        <w:t xml:space="preserve"> </w:t>
      </w:r>
      <m:oMath>
        <m:r>
          <m:t>C</m:t>
        </m:r>
        <m:r>
          <m:t>I</m:t>
        </m:r>
        <m:r>
          <m:t>g</m:t>
        </m:r>
      </m:oMath>
      <w:r>
        <w:t xml:space="preserve"> </w:t>
      </w:r>
      <w:r>
        <w:t xml:space="preserve">may produce the same split ranking, although a fixed minimum-gain threshold would need to be rescaled if the stopping rule uses the raw gain value.</w:t>
      </w:r>
    </w:p>
    <w:p>
      <w:pPr>
        <w:pStyle w:val="BodyText"/>
      </w:pPr>
      <w:r>
        <w:t xml:space="preserve">In short, the impurity measure determines what the gain function measures and the scale, and the gain function determines which split is selected.</w:t>
      </w:r>
    </w:p>
    <w:bookmarkStart w:id="31" w:name="sec-split-search"/>
    <w:p>
      <w:pPr>
        <w:pStyle w:val="Heading4"/>
      </w:pPr>
      <w:r>
        <w:t xml:space="preserve">Split Search for Numeric and Categorical Predictors</w:t>
      </w:r>
    </w:p>
    <w:p>
      <w:pPr>
        <w:pStyle w:val="FirstParagraph"/>
      </w:pPr>
      <w:r>
        <w:t xml:space="preserve">At each node, the algorithm searches across the candidate predictors and their admissible binary partitions. The same gain function is used for both numeric and categorical predictors, but the candidate splits are constructed differently. For a numeric predictor</w:t>
      </w:r>
      <w:r>
        <w:t xml:space="preserve"> </w:t>
      </w:r>
      <m:oMath>
        <m:sSub>
          <m:e>
            <m:r>
              <m:t>X</m:t>
            </m:r>
          </m:e>
          <m:sub>
            <m:r>
              <m:t>k</m:t>
            </m:r>
          </m:sub>
        </m:sSub>
      </m:oMath>
      <w:r>
        <w:t xml:space="preserve">, the values observed in node</w:t>
      </w:r>
      <w:r>
        <w:t xml:space="preserve"> </w:t>
      </w:r>
      <m:oMath>
        <m:r>
          <m:t>t</m:t>
        </m:r>
      </m:oMath>
      <w:r>
        <w:t xml:space="preserve"> </w:t>
      </w:r>
      <w:r>
        <w:t xml:space="preserve">are sorted, and possible cutpoints are placed only between distinct adjacent values. For two adjacent ordered values,</w:t>
      </w:r>
      <w:r>
        <w:t xml:space="preserve"> </w:t>
      </w:r>
      <m:oMath>
        <m:sSub>
          <m:e>
            <m:r>
              <m:t>x</m:t>
            </m:r>
          </m:e>
          <m:sub>
            <m:r>
              <m:rPr>
                <m:sty m:val="p"/>
              </m:rPr>
              <m:t>(</m:t>
            </m:r>
            <m:r>
              <m:t>r</m:t>
            </m:r>
            <m:r>
              <m:rPr>
                <m:sty m:val="p"/>
              </m:rPr>
              <m:t>)</m:t>
            </m:r>
          </m:sub>
        </m:sSub>
      </m:oMath>
      <w:r>
        <w:t xml:space="preserve"> </w:t>
      </w:r>
      <w:r>
        <w:t xml:space="preserve">and</w:t>
      </w:r>
      <w:r>
        <w:t xml:space="preserve"> </w:t>
      </w:r>
      <m:oMath>
        <m:sSub>
          <m:e>
            <m:r>
              <m:t>x</m:t>
            </m:r>
          </m:e>
          <m:sub>
            <m:r>
              <m:rPr>
                <m:sty m:val="p"/>
              </m:rPr>
              <m:t>(</m:t>
            </m:r>
            <m:r>
              <m:t>r</m:t>
            </m:r>
            <m:r>
              <m:rPr>
                <m:sty m:val="p"/>
              </m:rPr>
              <m:t>+</m:t>
            </m:r>
            <m:r>
              <m:t>1</m:t>
            </m:r>
            <m:r>
              <m:rPr>
                <m:sty m:val="p"/>
              </m:rPr>
              <m:t>)</m:t>
            </m:r>
          </m:sub>
        </m:sSub>
      </m:oMath>
      <w:r>
        <w:t xml:space="preserve">, the candidate cutpoint is placed halfway between them:</w:t>
      </w:r>
    </w:p>
    <w:p>
      <w:pPr>
        <w:pStyle w:val="BodyText"/>
      </w:pPr>
      <m:oMathPara>
        <m:oMathParaPr>
          <m:jc m:val="center"/>
        </m:oMathParaPr>
        <m:oMath>
          <m:r>
            <m:t>s</m:t>
          </m:r>
          <m:r>
            <m:rPr>
              <m:sty m:val="p"/>
            </m:rPr>
            <m:t>=</m:t>
          </m:r>
          <m:f>
            <m:fPr>
              <m:type m:val="bar"/>
            </m:fPr>
            <m:num>
              <m:sSub>
                <m:e>
                  <m:r>
                    <m:t>x</m:t>
                  </m:r>
                </m:e>
                <m:sub>
                  <m:r>
                    <m:rPr>
                      <m:sty m:val="p"/>
                    </m:rPr>
                    <m:t>(</m:t>
                  </m:r>
                  <m:r>
                    <m:t>r</m:t>
                  </m:r>
                  <m:r>
                    <m:rPr>
                      <m:sty m:val="p"/>
                    </m:rPr>
                    <m:t>)</m:t>
                  </m:r>
                </m:sub>
              </m:sSub>
              <m:r>
                <m:rPr>
                  <m:sty m:val="p"/>
                </m:rPr>
                <m:t>+</m:t>
              </m:r>
              <m:sSub>
                <m:e>
                  <m:r>
                    <m:t>x</m:t>
                  </m:r>
                </m:e>
                <m:sub>
                  <m:r>
                    <m:rPr>
                      <m:sty m:val="p"/>
                    </m:rPr>
                    <m:t>(</m:t>
                  </m:r>
                  <m:r>
                    <m:t>r</m:t>
                  </m:r>
                  <m:r>
                    <m:rPr>
                      <m:sty m:val="p"/>
                    </m:rPr>
                    <m:t>+</m:t>
                  </m:r>
                  <m:r>
                    <m:t>1</m:t>
                  </m:r>
                  <m:r>
                    <m:rPr>
                      <m:sty m:val="p"/>
                    </m:rPr>
                    <m:t>)</m:t>
                  </m:r>
                </m:sub>
              </m:sSub>
            </m:num>
            <m:den>
              <m:r>
                <m:t>2</m:t>
              </m:r>
            </m:den>
          </m:f>
          <m:r>
            <m:rPr>
              <m:sty m:val="p"/>
            </m:rPr>
            <m:t>.</m:t>
          </m:r>
        </m:oMath>
      </m:oMathPara>
    </w:p>
    <w:p>
      <w:pPr>
        <w:pStyle w:val="FirstParagraph"/>
      </w:pPr>
      <w:r>
        <w:t xml:space="preserve">This gives the binary rule.</w:t>
      </w:r>
    </w:p>
    <w:p>
      <w:pPr>
        <w:pStyle w:val="BodyText"/>
      </w:pPr>
      <m:oMathPara>
        <m:oMathParaPr>
          <m:jc m:val="center"/>
        </m:oMathParaPr>
        <m:oMath>
          <m:sSub>
            <m:e>
              <m:r>
                <m:t>X</m:t>
              </m:r>
            </m:e>
            <m:sub>
              <m:r>
                <m:t>k</m:t>
              </m:r>
            </m:sub>
          </m:sSub>
          <m:r>
            <m:rPr>
              <m:sty m:val="p"/>
            </m:rPr>
            <m:t>≤</m:t>
          </m:r>
          <m:r>
            <m:t>s</m:t>
          </m:r>
          <m:r>
            <m:t>  </m:t>
          </m:r>
          <m:r>
            <m:rPr>
              <m:nor/>
              <m:sty m:val="p"/>
            </m:rPr>
            <m:t>versus</m:t>
          </m:r>
          <m:r>
            <m:t>  </m:t>
          </m:r>
          <m:sSub>
            <m:e>
              <m:r>
                <m:t>X</m:t>
              </m:r>
            </m:e>
            <m:sub>
              <m:r>
                <m:t>k</m:t>
              </m:r>
            </m:sub>
          </m:sSub>
          <m:r>
            <m:rPr>
              <m:sty m:val="p"/>
            </m:rPr>
            <m:t>&gt;</m:t>
          </m:r>
          <m:r>
            <m:t>s</m:t>
          </m:r>
          <m:r>
            <m:rPr>
              <m:sty m:val="p"/>
            </m:rPr>
            <m:t>.</m:t>
          </m:r>
        </m:oMath>
      </m:oMathPara>
    </w:p>
    <w:p>
      <w:pPr>
        <w:pStyle w:val="FirstParagraph"/>
      </w:pPr>
      <w:r>
        <w:t xml:space="preserve">Only cutpoints that leave enough survey weight in both child nodes are retained. For each numeric predictor, the best admissible cutpoint is the one with the largest concentration-index gain:</w:t>
      </w:r>
    </w:p>
    <w:p>
      <w:pPr>
        <w:pStyle w:val="BodyText"/>
      </w:pPr>
      <m:oMathPara>
        <m:oMathParaPr>
          <m:jc m:val="center"/>
        </m:oMathParaPr>
        <m:oMath>
          <m:sSubSup>
            <m:e>
              <m:r>
                <m:t>s</m:t>
              </m:r>
            </m:e>
            <m:sub>
              <m:r>
                <m:t>k</m:t>
              </m:r>
            </m:sub>
            <m:sup>
              <m:r>
                <m:rPr>
                  <m:sty m:val="p"/>
                </m:rPr>
                <m:t>*</m:t>
              </m:r>
            </m:sup>
          </m:sSubSup>
          <m:r>
            <m:rPr>
              <m:sty m:val="p"/>
            </m:rPr>
            <m:t>=</m:t>
          </m:r>
          <m:r>
            <m:rPr>
              <m:sty m:val="p"/>
            </m:rPr>
            <m:t>arg</m:t>
          </m:r>
          <m:limLow>
            <m:e>
              <m:r>
                <m:rPr>
                  <m:sty m:val="p"/>
                </m:rPr>
                <m:t>max</m:t>
              </m:r>
            </m:e>
            <m:lim>
              <m:r>
                <m:t>s</m:t>
              </m:r>
            </m:lim>
          </m:limLow>
          <m:sSub>
            <m:e>
              <m:r>
                <m:t>G</m:t>
              </m:r>
            </m:e>
            <m:sub>
              <m:r>
                <m:t>m</m:t>
              </m:r>
            </m:sub>
          </m:sSub>
          <m:r>
            <m:rPr>
              <m:sty m:val="p"/>
            </m:rPr>
            <m:t>(</m:t>
          </m:r>
          <m:r>
            <m:t>k</m:t>
          </m:r>
          <m:r>
            <m:rPr>
              <m:sty m:val="p"/>
            </m:rPr>
            <m:t>,</m:t>
          </m:r>
          <m:r>
            <m:t>s</m:t>
          </m:r>
          <m:r>
            <m:rPr>
              <m:sty m:val="p"/>
            </m:rPr>
            <m:t>,</m:t>
          </m:r>
          <m:r>
            <m:t>t</m:t>
          </m:r>
          <m:r>
            <m:rPr>
              <m:sty m:val="p"/>
            </m:rPr>
            <m:t>)</m:t>
          </m:r>
          <m:r>
            <m:rPr>
              <m:sty m:val="p"/>
            </m:rPr>
            <m:t>.</m:t>
          </m:r>
        </m:oMath>
      </m:oMathPara>
    </w:p>
    <w:p>
      <w:pPr>
        <w:pStyle w:val="FirstParagraph"/>
      </w:pPr>
      <w:r>
        <w:t xml:space="preserve">For a categorical predictor</w:t>
      </w:r>
      <w:r>
        <w:t xml:space="preserve"> </w:t>
      </w:r>
      <m:oMath>
        <m:sSub>
          <m:e>
            <m:r>
              <m:t>X</m:t>
            </m:r>
          </m:e>
          <m:sub>
            <m:r>
              <m:t>k</m:t>
            </m:r>
          </m:sub>
        </m:sSub>
      </m:oMath>
      <w:r>
        <w:t xml:space="preserve">, the levels present in node</w:t>
      </w:r>
      <w:r>
        <w:t xml:space="preserve"> </w:t>
      </w:r>
      <m:oMath>
        <m:r>
          <m:t>t</m:t>
        </m:r>
      </m:oMath>
      <w:r>
        <w:t xml:space="preserve"> </w:t>
      </w:r>
      <w:r>
        <w:t xml:space="preserve">are first ordered by their weighted mean outcome. If these ordered levels are</w:t>
      </w:r>
      <w:r>
        <w:t xml:space="preserve"> </w:t>
      </w:r>
      <m:oMath>
        <m:sSub>
          <m:e>
            <m:r>
              <m:t>l</m:t>
            </m:r>
          </m:e>
          <m:sub>
            <m:r>
              <m:t>1</m:t>
            </m:r>
          </m:sub>
        </m:sSub>
        <m:r>
          <m:rPr>
            <m:sty m:val="p"/>
          </m:rPr>
          <m:t>,</m:t>
        </m:r>
        <m:r>
          <m:rPr>
            <m:sty m:val="p"/>
          </m:rPr>
          <m:t>…</m:t>
        </m:r>
        <m:r>
          <m:rPr>
            <m:sty m:val="p"/>
          </m:rPr>
          <m:t>,</m:t>
        </m:r>
        <m:sSub>
          <m:e>
            <m:r>
              <m:t>l</m:t>
            </m:r>
          </m:e>
          <m:sub>
            <m:r>
              <m:t>J</m:t>
            </m:r>
          </m:sub>
        </m:sSub>
      </m:oMath>
      <w:r>
        <w:t xml:space="preserve">, the candidate splits are formed cumulatively:</w:t>
      </w:r>
    </w:p>
    <w:p>
      <w:pPr>
        <w:pStyle w:val="BodyText"/>
      </w:pPr>
      <m:oMathPara>
        <m:oMathParaPr>
          <m:jc m:val="center"/>
        </m:oMathParaPr>
        <m:oMath>
          <m:r>
            <m:rPr>
              <m:sty m:val="p"/>
            </m:rPr>
            <m:t>{</m:t>
          </m:r>
          <m:sSub>
            <m:e>
              <m:r>
                <m:t>l</m:t>
              </m:r>
            </m:e>
            <m:sub>
              <m:r>
                <m:t>1</m:t>
              </m:r>
            </m:sub>
          </m:sSub>
          <m:r>
            <m:rPr>
              <m:sty m:val="p"/>
            </m:rPr>
            <m:t>}</m:t>
          </m:r>
          <m:r>
            <m:t> </m:t>
          </m:r>
          <m:r>
            <m:rPr>
              <m:nor/>
              <m:sty m:val="p"/>
            </m:rPr>
            <m:t>versus</m:t>
          </m:r>
          <m:r>
            <m:t> </m:t>
          </m:r>
          <m:r>
            <m:rPr>
              <m:sty m:val="p"/>
            </m:rPr>
            <m:t>{</m:t>
          </m:r>
          <m:sSub>
            <m:e>
              <m:r>
                <m:t>l</m:t>
              </m:r>
            </m:e>
            <m:sub>
              <m:r>
                <m:t>2</m:t>
              </m:r>
            </m:sub>
          </m:sSub>
          <m:r>
            <m:rPr>
              <m:sty m:val="p"/>
            </m:rPr>
            <m:t>,</m:t>
          </m:r>
          <m:r>
            <m:rPr>
              <m:sty m:val="p"/>
            </m:rPr>
            <m:t>…</m:t>
          </m:r>
          <m:r>
            <m:rPr>
              <m:sty m:val="p"/>
            </m:rPr>
            <m:t>,</m:t>
          </m:r>
          <m:sSub>
            <m:e>
              <m:r>
                <m:t>l</m:t>
              </m:r>
            </m:e>
            <m:sub>
              <m:r>
                <m:t>J</m:t>
              </m:r>
            </m:sub>
          </m:sSub>
          <m:r>
            <m:rPr>
              <m:sty m:val="p"/>
            </m:rPr>
            <m:t>}</m:t>
          </m:r>
          <m:r>
            <m:rPr>
              <m:sty m:val="p"/>
            </m:rPr>
            <m:t>,</m:t>
          </m:r>
        </m:oMath>
      </m:oMathPara>
    </w:p>
    <w:p>
      <w:pPr>
        <w:pStyle w:val="FirstParagraph"/>
      </w:pPr>
      <m:oMathPara>
        <m:oMathParaPr>
          <m:jc m:val="center"/>
        </m:oMathParaPr>
        <m:oMath>
          <m:r>
            <m:rPr>
              <m:sty m:val="p"/>
            </m:rPr>
            <m:t>{</m:t>
          </m:r>
          <m:sSub>
            <m:e>
              <m:r>
                <m:t>l</m:t>
              </m:r>
            </m:e>
            <m:sub>
              <m:r>
                <m:t>1</m:t>
              </m:r>
            </m:sub>
          </m:sSub>
          <m:r>
            <m:rPr>
              <m:sty m:val="p"/>
            </m:rPr>
            <m:t>,</m:t>
          </m:r>
          <m:sSub>
            <m:e>
              <m:r>
                <m:t>l</m:t>
              </m:r>
            </m:e>
            <m:sub>
              <m:r>
                <m:t>2</m:t>
              </m:r>
            </m:sub>
          </m:sSub>
          <m:r>
            <m:rPr>
              <m:sty m:val="p"/>
            </m:rPr>
            <m:t>}</m:t>
          </m:r>
          <m:r>
            <m:t> </m:t>
          </m:r>
          <m:r>
            <m:rPr>
              <m:nor/>
              <m:sty m:val="p"/>
            </m:rPr>
            <m:t>versus</m:t>
          </m:r>
          <m:r>
            <m:t> </m:t>
          </m:r>
          <m:r>
            <m:rPr>
              <m:sty m:val="p"/>
            </m:rPr>
            <m:t>{</m:t>
          </m:r>
          <m:sSub>
            <m:e>
              <m:r>
                <m:t>l</m:t>
              </m:r>
            </m:e>
            <m:sub>
              <m:r>
                <m:t>3</m:t>
              </m:r>
            </m:sub>
          </m:sSub>
          <m:r>
            <m:rPr>
              <m:sty m:val="p"/>
            </m:rPr>
            <m:t>,</m:t>
          </m:r>
          <m:r>
            <m:rPr>
              <m:sty m:val="p"/>
            </m:rPr>
            <m:t>…</m:t>
          </m:r>
          <m:r>
            <m:rPr>
              <m:sty m:val="p"/>
            </m:rPr>
            <m:t>,</m:t>
          </m:r>
          <m:sSub>
            <m:e>
              <m:r>
                <m:t>l</m:t>
              </m:r>
            </m:e>
            <m:sub>
              <m:r>
                <m:t>J</m:t>
              </m:r>
            </m:sub>
          </m:sSub>
          <m:r>
            <m:rPr>
              <m:sty m:val="p"/>
            </m:rPr>
            <m:t>}</m:t>
          </m:r>
          <m:r>
            <m:rPr>
              <m:sty m:val="p"/>
            </m:rPr>
            <m:t>,</m:t>
          </m:r>
        </m:oMath>
      </m:oMathPara>
    </w:p>
    <w:p>
      <w:pPr>
        <w:pStyle w:val="FirstParagraph"/>
      </w:pPr>
      <w:r>
        <w:t xml:space="preserve">up to</w:t>
      </w:r>
    </w:p>
    <w:p>
      <w:pPr>
        <w:pStyle w:val="BodyText"/>
      </w:pPr>
      <m:oMathPara>
        <m:oMathParaPr>
          <m:jc m:val="center"/>
        </m:oMathParaPr>
        <m:oMath>
          <m:r>
            <m:rPr>
              <m:sty m:val="p"/>
            </m:rPr>
            <m:t>{</m:t>
          </m:r>
          <m:sSub>
            <m:e>
              <m:r>
                <m:t>l</m:t>
              </m:r>
            </m:e>
            <m:sub>
              <m:r>
                <m:t>1</m:t>
              </m:r>
            </m:sub>
          </m:sSub>
          <m:r>
            <m:rPr>
              <m:sty m:val="p"/>
            </m:rPr>
            <m:t>,</m:t>
          </m:r>
          <m:r>
            <m:rPr>
              <m:sty m:val="p"/>
            </m:rPr>
            <m:t>…</m:t>
          </m:r>
          <m:r>
            <m:rPr>
              <m:sty m:val="p"/>
            </m:rPr>
            <m:t>,</m:t>
          </m:r>
          <m:sSub>
            <m:e>
              <m:r>
                <m:t>l</m:t>
              </m:r>
            </m:e>
            <m:sub>
              <m:r>
                <m:t>J</m:t>
              </m:r>
              <m:r>
                <m:rPr>
                  <m:sty m:val="p"/>
                </m:rPr>
                <m:t>−</m:t>
              </m:r>
              <m:r>
                <m:t>1</m:t>
              </m:r>
            </m:sub>
          </m:sSub>
          <m:r>
            <m:rPr>
              <m:sty m:val="p"/>
            </m:rPr>
            <m:t>}</m:t>
          </m:r>
          <m:r>
            <m:t> </m:t>
          </m:r>
          <m:r>
            <m:rPr>
              <m:nor/>
              <m:sty m:val="p"/>
            </m:rPr>
            <m:t>versus</m:t>
          </m:r>
          <m:r>
            <m:t> </m:t>
          </m:r>
          <m:r>
            <m:rPr>
              <m:sty m:val="p"/>
            </m:rPr>
            <m:t>{</m:t>
          </m:r>
          <m:sSub>
            <m:e>
              <m:r>
                <m:t>l</m:t>
              </m:r>
            </m:e>
            <m:sub>
              <m:r>
                <m:t>J</m:t>
              </m:r>
            </m:sub>
          </m:sSub>
          <m:r>
            <m:rPr>
              <m:sty m:val="p"/>
            </m:rPr>
            <m:t>}</m:t>
          </m:r>
          <m:r>
            <m:rPr>
              <m:sty m:val="p"/>
            </m:rPr>
            <m:t>.</m:t>
          </m:r>
        </m:oMath>
      </m:oMathPara>
    </w:p>
    <w:p>
      <w:pPr>
        <w:pStyle w:val="FirstParagraph"/>
      </w:pPr>
      <w:r>
        <w:t xml:space="preserve">The eligible splits are subject to the stopping rules discussed in the next section.</w:t>
      </w:r>
    </w:p>
    <w:bookmarkEnd w:id="31"/>
    <w:bookmarkStart w:id="32" w:name="sec-stopping-rules"/>
    <w:p>
      <w:pPr>
        <w:pStyle w:val="Heading4"/>
      </w:pPr>
      <w:r>
        <w:t xml:space="preserve">Stopping Rules</w:t>
      </w:r>
    </w:p>
    <w:p>
      <w:pPr>
        <w:pStyle w:val="FirstParagraph"/>
      </w:pPr>
      <w:r>
        <w:t xml:space="preserve">A node is split only if it passes the node level checks, has at least one admissible candidate split, and the best candidate gives enough improvement. First, node</w:t>
      </w:r>
      <w:r>
        <w:t xml:space="preserve"> </w:t>
      </w:r>
      <m:oMath>
        <m:r>
          <m:t>t</m:t>
        </m:r>
      </m:oMath>
      <w:r>
        <w:t xml:space="preserve"> </w:t>
      </w:r>
      <w:r>
        <w:t xml:space="preserve">is searched only when its depth is below the maximum tree depth (maxdepth), and its weighted sample size is at least the minimum weighted parent-node size (minsplit):</w:t>
      </w:r>
    </w:p>
    <w:p>
      <w:pPr>
        <w:pStyle w:val="BodyText"/>
      </w:pPr>
      <m:oMathPara>
        <m:oMathParaPr>
          <m:jc m:val="center"/>
        </m:oMathParaPr>
        <m:oMath>
          <m:sSub>
            <m:e>
              <m:r>
                <m:t>d</m:t>
              </m:r>
            </m:e>
            <m:sub>
              <m:r>
                <m:t>t</m:t>
              </m:r>
            </m:sub>
          </m:sSub>
          <m:r>
            <m:rPr>
              <m:sty m:val="p"/>
            </m:rPr>
            <m:t>&lt;</m:t>
          </m:r>
          <m:sSub>
            <m:e>
              <m:r>
                <m:t>d</m:t>
              </m:r>
            </m:e>
            <m:sub>
              <m:r>
                <m:rPr>
                  <m:sty m:val="p"/>
                </m:rPr>
                <m:t>max</m:t>
              </m:r>
            </m:sub>
          </m:sSub>
          <m:r>
            <m:t> </m:t>
          </m:r>
          <m:r>
            <m:rPr>
              <m:nor/>
              <m:sty m:val="p"/>
            </m:rPr>
            <m:t>and</m:t>
          </m:r>
          <m:r>
            <m:t> </m:t>
          </m:r>
          <m:sSub>
            <m:e>
              <m:r>
                <m:t>W</m:t>
              </m:r>
            </m:e>
            <m:sub>
              <m:r>
                <m:t>t</m:t>
              </m:r>
            </m:sub>
          </m:sSub>
          <m:r>
            <m:rPr>
              <m:sty m:val="p"/>
            </m:rPr>
            <m:t>≥</m:t>
          </m:r>
          <m:sSub>
            <m:e>
              <m:r>
                <m:t>W</m:t>
              </m:r>
            </m:e>
            <m:sub>
              <m:r>
                <m:rPr>
                  <m:sty m:val="p"/>
                </m:rPr>
                <m:t>m</m:t>
              </m:r>
              <m:r>
                <m:rPr>
                  <m:sty m:val="p"/>
                </m:rPr>
                <m:t>i</m:t>
              </m:r>
              <m:r>
                <m:rPr>
                  <m:sty m:val="p"/>
                </m:rPr>
                <m:t>n</m:t>
              </m:r>
              <m:r>
                <m:rPr>
                  <m:sty m:val="p"/>
                </m:rPr>
                <m:t>s</m:t>
              </m:r>
              <m:r>
                <m:rPr>
                  <m:sty m:val="p"/>
                </m:rPr>
                <m:t>p</m:t>
              </m:r>
              <m:r>
                <m:rPr>
                  <m:sty m:val="p"/>
                </m:rPr>
                <m:t>l</m:t>
              </m:r>
              <m:r>
                <m:rPr>
                  <m:sty m:val="p"/>
                </m:rPr>
                <m:t>i</m:t>
              </m:r>
              <m:r>
                <m:rPr>
                  <m:sty m:val="p"/>
                </m:rPr>
                <m:t>t</m:t>
              </m:r>
            </m:sub>
          </m:sSub>
          <m:r>
            <m:rPr>
              <m:sty m:val="p"/>
            </m:rPr>
            <m:t>.</m:t>
          </m:r>
        </m:oMath>
      </m:oMathPara>
    </w:p>
    <w:p>
      <w:pPr>
        <w:pStyle w:val="FirstParagraph"/>
      </w:pPr>
      <w:r>
        <w:t xml:space="preserve">If either condition fails, the node is terminal. For a node that passes maxdepth and minsplit checks, each candidate split</w:t>
      </w:r>
      <w:r>
        <w:t xml:space="preserve"> </w:t>
      </w:r>
      <m:oMath>
        <m:r>
          <m:rPr>
            <m:sty m:val="p"/>
          </m:rPr>
          <m:t>(</m:t>
        </m:r>
        <m:r>
          <m:t>j</m:t>
        </m:r>
        <m:r>
          <m:rPr>
            <m:sty m:val="p"/>
          </m:rPr>
          <m:t>,</m:t>
        </m:r>
        <m:r>
          <m:t>s</m:t>
        </m:r>
        <m:r>
          <m:rPr>
            <m:sty m:val="p"/>
          </m:rPr>
          <m:t>)</m:t>
        </m:r>
      </m:oMath>
      <w:r>
        <w:t xml:space="preserve"> </w:t>
      </w:r>
      <w:r>
        <w:t xml:space="preserve">must create two child nodes that are large enough. A split is admissible only if both children satisfy the minimum weighted child-node size (minbucket),</w:t>
      </w:r>
    </w:p>
    <w:p>
      <w:pPr>
        <w:pStyle w:val="BodyText"/>
      </w:pPr>
      <m:oMathPara>
        <m:oMathParaPr>
          <m:jc m:val="center"/>
        </m:oMathParaPr>
        <m:oMath>
          <m:sSub>
            <m:e>
              <m:r>
                <m:t>W</m:t>
              </m:r>
            </m:e>
            <m:sub>
              <m:sSub>
                <m:e>
                  <m:r>
                    <m:t>t</m:t>
                  </m:r>
                </m:e>
                <m:sub>
                  <m:r>
                    <m:t>L</m:t>
                  </m:r>
                </m:sub>
              </m:sSub>
              <m:r>
                <m:rPr>
                  <m:sty m:val="p"/>
                </m:rPr>
                <m:t>(</m:t>
              </m:r>
              <m:r>
                <m:t>j</m:t>
              </m:r>
              <m:r>
                <m:rPr>
                  <m:sty m:val="p"/>
                </m:rPr>
                <m:t>,</m:t>
              </m:r>
              <m:r>
                <m:t>s</m:t>
              </m:r>
              <m:r>
                <m:rPr>
                  <m:sty m:val="p"/>
                </m:rPr>
                <m:t>)</m:t>
              </m:r>
            </m:sub>
          </m:sSub>
          <m:r>
            <m:rPr>
              <m:sty m:val="p"/>
            </m:rPr>
            <m:t>≥</m:t>
          </m:r>
          <m:sSub>
            <m:e>
              <m:r>
                <m:t>W</m:t>
              </m:r>
            </m:e>
            <m:sub>
              <m:r>
                <m:rPr>
                  <m:sty m:val="p"/>
                </m:rPr>
                <m:t>m</m:t>
              </m:r>
              <m:r>
                <m:rPr>
                  <m:sty m:val="p"/>
                </m:rPr>
                <m:t>i</m:t>
              </m:r>
              <m:r>
                <m:rPr>
                  <m:sty m:val="p"/>
                </m:rPr>
                <m:t>n</m:t>
              </m:r>
              <m:r>
                <m:rPr>
                  <m:sty m:val="p"/>
                </m:rPr>
                <m:t>b</m:t>
              </m:r>
              <m:r>
                <m:rPr>
                  <m:sty m:val="p"/>
                </m:rPr>
                <m:t>u</m:t>
              </m:r>
              <m:r>
                <m:rPr>
                  <m:sty m:val="p"/>
                </m:rPr>
                <m:t>c</m:t>
              </m:r>
              <m:r>
                <m:rPr>
                  <m:sty m:val="p"/>
                </m:rPr>
                <m:t>k</m:t>
              </m:r>
              <m:r>
                <m:rPr>
                  <m:sty m:val="p"/>
                </m:rPr>
                <m:t>e</m:t>
              </m:r>
              <m:r>
                <m:rPr>
                  <m:sty m:val="p"/>
                </m:rPr>
                <m:t>t</m:t>
              </m:r>
            </m:sub>
          </m:sSub>
          <m:r>
            <m:rPr>
              <m:sty m:val="p"/>
            </m:rPr>
            <m:t>,</m:t>
          </m:r>
          <m:r>
            <m:t> </m:t>
          </m:r>
          <m:sSub>
            <m:e>
              <m:r>
                <m:t>W</m:t>
              </m:r>
            </m:e>
            <m:sub>
              <m:sSub>
                <m:e>
                  <m:r>
                    <m:t>t</m:t>
                  </m:r>
                </m:e>
                <m:sub>
                  <m:r>
                    <m:t>R</m:t>
                  </m:r>
                </m:sub>
              </m:sSub>
              <m:r>
                <m:rPr>
                  <m:sty m:val="p"/>
                </m:rPr>
                <m:t>(</m:t>
              </m:r>
              <m:r>
                <m:t>j</m:t>
              </m:r>
              <m:r>
                <m:rPr>
                  <m:sty m:val="p"/>
                </m:rPr>
                <m:t>,</m:t>
              </m:r>
              <m:r>
                <m:t>s</m:t>
              </m:r>
              <m:r>
                <m:rPr>
                  <m:sty m:val="p"/>
                </m:rPr>
                <m:t>)</m:t>
              </m:r>
            </m:sub>
          </m:sSub>
          <m:r>
            <m:rPr>
              <m:sty m:val="p"/>
            </m:rPr>
            <m:t>≥</m:t>
          </m:r>
          <m:sSub>
            <m:e>
              <m:r>
                <m:t>W</m:t>
              </m:r>
            </m:e>
            <m:sub>
              <m:r>
                <m:rPr>
                  <m:sty m:val="p"/>
                </m:rPr>
                <m:t>m</m:t>
              </m:r>
              <m:r>
                <m:rPr>
                  <m:sty m:val="p"/>
                </m:rPr>
                <m:t>i</m:t>
              </m:r>
              <m:r>
                <m:rPr>
                  <m:sty m:val="p"/>
                </m:rPr>
                <m:t>n</m:t>
              </m:r>
              <m:r>
                <m:rPr>
                  <m:sty m:val="p"/>
                </m:rPr>
                <m:t>b</m:t>
              </m:r>
              <m:r>
                <m:rPr>
                  <m:sty m:val="p"/>
                </m:rPr>
                <m:t>u</m:t>
              </m:r>
              <m:r>
                <m:rPr>
                  <m:sty m:val="p"/>
                </m:rPr>
                <m:t>c</m:t>
              </m:r>
              <m:r>
                <m:rPr>
                  <m:sty m:val="p"/>
                </m:rPr>
                <m:t>k</m:t>
              </m:r>
              <m:r>
                <m:rPr>
                  <m:sty m:val="p"/>
                </m:rPr>
                <m:t>e</m:t>
              </m:r>
              <m:r>
                <m:rPr>
                  <m:sty m:val="p"/>
                </m:rPr>
                <m:t>t</m:t>
              </m:r>
            </m:sub>
          </m:sSub>
          <m:r>
            <m:rPr>
              <m:sty m:val="p"/>
            </m:rPr>
            <m:t>,</m:t>
          </m:r>
        </m:oMath>
      </m:oMathPara>
    </w:p>
    <w:p>
      <w:pPr>
        <w:pStyle w:val="FirstParagraph"/>
      </w:pPr>
      <w:r>
        <w:t xml:space="preserve">and the minimum child-node weight proportion (minprob),</w:t>
      </w:r>
    </w:p>
    <w:p>
      <w:pPr>
        <w:pStyle w:val="BodyText"/>
      </w:pPr>
      <m:oMathPara>
        <m:oMathParaPr>
          <m:jc m:val="center"/>
        </m:oMathParaPr>
        <m:oMath>
          <m:f>
            <m:fPr>
              <m:type m:val="bar"/>
            </m:fPr>
            <m:num>
              <m:sSub>
                <m:e>
                  <m:r>
                    <m:t>W</m:t>
                  </m:r>
                </m:e>
                <m:sub>
                  <m:sSub>
                    <m:e>
                      <m:r>
                        <m:t>t</m:t>
                      </m:r>
                    </m:e>
                    <m:sub>
                      <m:r>
                        <m:t>L</m:t>
                      </m:r>
                    </m:sub>
                  </m:sSub>
                  <m:r>
                    <m:rPr>
                      <m:sty m:val="p"/>
                    </m:rPr>
                    <m:t>(</m:t>
                  </m:r>
                  <m:r>
                    <m:t>j</m:t>
                  </m:r>
                  <m:r>
                    <m:rPr>
                      <m:sty m:val="p"/>
                    </m:rPr>
                    <m:t>,</m:t>
                  </m:r>
                  <m:r>
                    <m:t>s</m:t>
                  </m:r>
                  <m:r>
                    <m:rPr>
                      <m:sty m:val="p"/>
                    </m:rPr>
                    <m:t>)</m:t>
                  </m:r>
                </m:sub>
              </m:sSub>
            </m:num>
            <m:den>
              <m:sSub>
                <m:e>
                  <m:r>
                    <m:t>W</m:t>
                  </m:r>
                </m:e>
                <m:sub>
                  <m:r>
                    <m:t>t</m:t>
                  </m:r>
                </m:sub>
              </m:sSub>
            </m:den>
          </m:f>
          <m:r>
            <m:rPr>
              <m:sty m:val="p"/>
            </m:rPr>
            <m:t>≥</m:t>
          </m:r>
          <m:sSub>
            <m:e>
              <m:r>
                <m:t>p</m:t>
              </m:r>
            </m:e>
            <m:sub>
              <m:r>
                <m:rPr>
                  <m:sty m:val="p"/>
                </m:rPr>
                <m:t>min</m:t>
              </m:r>
            </m:sub>
          </m:sSub>
          <m:r>
            <m:rPr>
              <m:sty m:val="p"/>
            </m:rPr>
            <m:t>,</m:t>
          </m:r>
          <m:r>
            <m:t> </m:t>
          </m:r>
          <m:f>
            <m:fPr>
              <m:type m:val="bar"/>
            </m:fPr>
            <m:num>
              <m:sSub>
                <m:e>
                  <m:r>
                    <m:t>W</m:t>
                  </m:r>
                </m:e>
                <m:sub>
                  <m:sSub>
                    <m:e>
                      <m:r>
                        <m:t>t</m:t>
                      </m:r>
                    </m:e>
                    <m:sub>
                      <m:r>
                        <m:t>R</m:t>
                      </m:r>
                    </m:sub>
                  </m:sSub>
                  <m:r>
                    <m:rPr>
                      <m:sty m:val="p"/>
                    </m:rPr>
                    <m:t>(</m:t>
                  </m:r>
                  <m:r>
                    <m:t>j</m:t>
                  </m:r>
                  <m:r>
                    <m:rPr>
                      <m:sty m:val="p"/>
                    </m:rPr>
                    <m:t>,</m:t>
                  </m:r>
                  <m:r>
                    <m:t>s</m:t>
                  </m:r>
                  <m:r>
                    <m:rPr>
                      <m:sty m:val="p"/>
                    </m:rPr>
                    <m:t>)</m:t>
                  </m:r>
                </m:sub>
              </m:sSub>
            </m:num>
            <m:den>
              <m:sSub>
                <m:e>
                  <m:r>
                    <m:t>W</m:t>
                  </m:r>
                </m:e>
                <m:sub>
                  <m:r>
                    <m:t>t</m:t>
                  </m:r>
                </m:sub>
              </m:sSub>
            </m:den>
          </m:f>
          <m:r>
            <m:rPr>
              <m:sty m:val="p"/>
            </m:rPr>
            <m:t>≥</m:t>
          </m:r>
          <m:sSub>
            <m:e>
              <m:r>
                <m:t>p</m:t>
              </m:r>
            </m:e>
            <m:sub>
              <m:r>
                <m:rPr>
                  <m:sty m:val="p"/>
                </m:rPr>
                <m:t>min</m:t>
              </m:r>
            </m:sub>
          </m:sSub>
          <m:r>
            <m:rPr>
              <m:sty m:val="p"/>
            </m:rPr>
            <m:t>.</m:t>
          </m:r>
        </m:oMath>
      </m:oMathPara>
    </w:p>
    <w:p>
      <w:pPr>
        <w:pStyle w:val="FirstParagraph"/>
      </w:pPr>
      <w:r>
        <w:t xml:space="preserve">These two rules remove unsuitable candidate splits before the gain is compared. A node becomes terminal if no candidate split remains after this filtering. Among the admissible splits, the selected split must have a finite gain and must exceed the minimum absolute gain (min_gain):</w:t>
      </w:r>
    </w:p>
    <w:p>
      <w:pPr>
        <w:pStyle w:val="BodyText"/>
      </w:pPr>
      <m:oMathPara>
        <m:oMathParaPr>
          <m:jc m:val="center"/>
        </m:oMathParaPr>
        <m:oMath>
          <m:sSub>
            <m:e>
              <m:r>
                <m:t>G</m:t>
              </m:r>
            </m:e>
            <m:sub>
              <m:r>
                <m:t>m</m:t>
              </m:r>
            </m:sub>
          </m:sSub>
          <m:r>
            <m:rPr>
              <m:sty m:val="p"/>
            </m:rPr>
            <m:t>(</m:t>
          </m:r>
          <m:sSup>
            <m:e>
              <m:r>
                <m:t>j</m:t>
              </m:r>
            </m:e>
            <m:sup>
              <m:r>
                <m:rPr>
                  <m:sty m:val="p"/>
                </m:rPr>
                <m:t>*</m:t>
              </m:r>
            </m:sup>
          </m:sSup>
          <m:r>
            <m:rPr>
              <m:sty m:val="p"/>
            </m:rPr>
            <m:t>,</m:t>
          </m:r>
          <m:sSup>
            <m:e>
              <m:r>
                <m:t>s</m:t>
              </m:r>
            </m:e>
            <m:sup>
              <m:r>
                <m:rPr>
                  <m:sty m:val="p"/>
                </m:rPr>
                <m:t>*</m:t>
              </m:r>
            </m:sup>
          </m:sSup>
          <m:r>
            <m:rPr>
              <m:sty m:val="p"/>
            </m:rPr>
            <m:t>,</m:t>
          </m:r>
          <m:r>
            <m:t>t</m:t>
          </m:r>
          <m:r>
            <m:rPr>
              <m:sty m:val="p"/>
            </m:rPr>
            <m:t>)</m:t>
          </m:r>
          <m:r>
            <m:rPr>
              <m:sty m:val="p"/>
            </m:rPr>
            <m:t>&gt;</m:t>
          </m:r>
          <m:sSub>
            <m:e>
              <m:r>
                <m:t>G</m:t>
              </m:r>
            </m:e>
            <m:sub>
              <m:r>
                <m:rPr>
                  <m:sty m:val="p"/>
                </m:rPr>
                <m:t>m</m:t>
              </m:r>
              <m:r>
                <m:rPr>
                  <m:sty m:val="p"/>
                </m:rPr>
                <m:t>i</m:t>
              </m:r>
              <m:r>
                <m:rPr>
                  <m:sty m:val="p"/>
                </m:rPr>
                <m:t>n</m:t>
              </m:r>
            </m:sub>
          </m:sSub>
          <m:r>
            <m:rPr>
              <m:sty m:val="p"/>
            </m:rPr>
            <m:t>.</m:t>
          </m:r>
        </m:oMath>
      </m:oMathPara>
    </w:p>
    <w:p>
      <w:pPr>
        <w:pStyle w:val="FirstParagraph"/>
      </w:pPr>
      <w:r>
        <w:t xml:space="preserve">The algorithm also checks the minimum relative gain (min_relative_gain). For split</w:t>
      </w:r>
      <w:r>
        <w:t xml:space="preserve"> </w:t>
      </w:r>
      <m:oMath>
        <m:r>
          <m:rPr>
            <m:sty m:val="p"/>
          </m:rPr>
          <m:t>(</m:t>
        </m:r>
        <m:r>
          <m:t>j</m:t>
        </m:r>
        <m:r>
          <m:rPr>
            <m:sty m:val="p"/>
          </m:rPr>
          <m:t>,</m:t>
        </m:r>
        <m:r>
          <m:t>s</m:t>
        </m:r>
        <m:r>
          <m:rPr>
            <m:sty m:val="p"/>
          </m:rPr>
          <m:t>)</m:t>
        </m:r>
      </m:oMath>
      <w:r>
        <w:t xml:space="preserve">, this is defined as</w:t>
      </w:r>
    </w:p>
    <w:p>
      <w:pPr>
        <w:pStyle w:val="BodyText"/>
      </w:pPr>
      <m:oMathPara>
        <m:oMathParaPr>
          <m:jc m:val="center"/>
        </m:oMathParaPr>
        <m:oMath>
          <m:r>
            <m:t>R</m:t>
          </m:r>
          <m:sSub>
            <m:e>
              <m:r>
                <m:t>G</m:t>
              </m:r>
            </m:e>
            <m:sub>
              <m:r>
                <m:t>m</m:t>
              </m:r>
            </m:sub>
          </m:sSub>
          <m:r>
            <m:rPr>
              <m:sty m:val="p"/>
            </m:rPr>
            <m:t>(</m:t>
          </m:r>
          <m:r>
            <m:t>j</m:t>
          </m:r>
          <m:r>
            <m:rPr>
              <m:sty m:val="p"/>
            </m:rPr>
            <m:t>,</m:t>
          </m:r>
          <m:r>
            <m:t>s</m:t>
          </m:r>
          <m:r>
            <m:rPr>
              <m:sty m:val="p"/>
            </m:rPr>
            <m:t>,</m:t>
          </m:r>
          <m:r>
            <m:t>t</m:t>
          </m:r>
          <m:r>
            <m:rPr>
              <m:sty m:val="p"/>
            </m:rPr>
            <m:t>)</m:t>
          </m:r>
          <m:r>
            <m:rPr>
              <m:sty m:val="p"/>
            </m:rPr>
            <m:t>=</m:t>
          </m:r>
          <m:f>
            <m:fPr>
              <m:type m:val="bar"/>
            </m:fPr>
            <m:num>
              <m:sSub>
                <m:e>
                  <m:r>
                    <m:t>G</m:t>
                  </m:r>
                </m:e>
                <m:sub>
                  <m:r>
                    <m:t>m</m:t>
                  </m:r>
                </m:sub>
              </m:sSub>
              <m:r>
                <m:rPr>
                  <m:sty m:val="p"/>
                </m:rPr>
                <m:t>(</m:t>
              </m:r>
              <m:r>
                <m:t>j</m:t>
              </m:r>
              <m:r>
                <m:rPr>
                  <m:sty m:val="p"/>
                </m:rPr>
                <m:t>,</m:t>
              </m:r>
              <m:r>
                <m:t>s</m:t>
              </m:r>
              <m:r>
                <m:rPr>
                  <m:sty m:val="p"/>
                </m:rPr>
                <m:t>,</m:t>
              </m:r>
              <m:r>
                <m:t>t</m:t>
              </m:r>
              <m:r>
                <m:rPr>
                  <m:sty m:val="p"/>
                </m:rPr>
                <m:t>)</m:t>
              </m:r>
            </m:num>
            <m:den>
              <m:r>
                <m:rPr>
                  <m:sty m:val="p"/>
                </m:rPr>
                <m:t>|</m:t>
              </m:r>
              <m:sSub>
                <m:e>
                  <m:r>
                    <m:t>I</m:t>
                  </m:r>
                </m:e>
                <m:sub>
                  <m:r>
                    <m:t>m</m:t>
                  </m:r>
                </m:sub>
              </m:sSub>
              <m:r>
                <m:rPr>
                  <m:sty m:val="p"/>
                </m:rPr>
                <m:t>(</m:t>
              </m:r>
              <m:r>
                <m:t>t</m:t>
              </m:r>
              <m:r>
                <m:rPr>
                  <m:sty m:val="p"/>
                </m:rPr>
                <m:t>)</m:t>
              </m:r>
              <m:r>
                <m:rPr>
                  <m:sty m:val="p"/>
                </m:rPr>
                <m:t>|</m:t>
              </m:r>
            </m:den>
          </m:f>
          <m:r>
            <m:rPr>
              <m:sty m:val="p"/>
            </m:rPr>
            <m:t>.</m:t>
          </m:r>
        </m:oMath>
      </m:oMathPara>
    </w:p>
    <w:p>
      <w:pPr>
        <w:pStyle w:val="FirstParagraph"/>
      </w:pPr>
      <w:r>
        <w:t xml:space="preserve">This expresses the gain as a share of the impurity in the parent node. It helps avoid splits that have a positive raw gain but reduce only a very small part of the parent-node impurity. It also makes the stopping rule less dependent on the numerical scale of the chosen concentration-index impurity measure. Thus, a node becomes terminal when the node-level checks fail, when no split satisfies the child-size rules, or when the best admissible split fails the absolute or relative gain requirement. The number of predictors considered (mtry) only changes which predictors are searched at a node, especially in the forest setting. It is not a stopping rule. The full algorithm is shown in (pseudocode)[#app-greedy-ci-tree-flow] and flowchart form in the appendix (</w:t>
      </w:r>
      <w:hyperlink w:anchor="fig-greedy-ci-tree-flow">
        <w:r>
          <w:rPr>
            <w:rStyle w:val="Hyperlink"/>
          </w:rPr>
          <w:t xml:space="preserve">Figure 14</w:t>
        </w:r>
      </w:hyperlink>
      <w:r>
        <w:t xml:space="preserve">), and the implementation is available in the ineqTrees package</w:t>
      </w:r>
      <w:r>
        <w:t xml:space="preserve"> </w:t>
      </w:r>
      <w:r>
        <w:t xml:space="preserve">(</w:t>
      </w:r>
      <w:hyperlink w:anchor="ref-ineqTrees">
        <w:r>
          <w:rPr>
            <w:rStyle w:val="Hyperlink"/>
          </w:rPr>
          <w:t xml:space="preserve">Mburu, 2026</w:t>
        </w:r>
      </w:hyperlink>
      <w:r>
        <w:t xml:space="preserve">)</w:t>
      </w:r>
      <w:r>
        <w:t xml:space="preserve">.</w:t>
      </w:r>
    </w:p>
    <w:bookmarkEnd w:id="32"/>
    <w:bookmarkEnd w:id="33"/>
    <w:bookmarkStart w:id="34" w:name="sec-random-forests"/>
    <w:p>
      <w:pPr>
        <w:pStyle w:val="Heading3"/>
      </w:pPr>
      <w:r>
        <w:t xml:space="preserve">Extensions to Ensemble Methods: Random Forests</w:t>
      </w:r>
    </w:p>
    <w:p>
      <w:pPr>
        <w:pStyle w:val="FirstParagraph"/>
      </w:pPr>
      <w:r>
        <w:t xml:space="preserve">The main advantage of the concentration-index tree is that the subgroup structure can be inspected directly. Observed covariates define each branch, and each terminal node can be described by its weighted sample size, mean outcome, and remaining concentration-index value.</w:t>
      </w:r>
    </w:p>
    <w:p>
      <w:pPr>
        <w:pStyle w:val="BodyText"/>
      </w:pPr>
      <w:r>
        <w:t xml:space="preserve">A limitation of the single tree is that its structure can be unstable. The algorithm grows the tree greedily, so an early split determines which observations are available for later splits. A small change in the data or in the tuning controls can therefore change the upper part of the tree and lead to a different set of terminal nodes. Tree depth also matters. A shallow tree may miss important combinations of determinants, while a deeper tree may start to follow small weighted subgroups rather than a pattern that is likely to appear again in another sample.</w:t>
      </w:r>
    </w:p>
    <w:p>
      <w:pPr>
        <w:pStyle w:val="BodyText"/>
      </w:pPr>
      <w:r>
        <w:t xml:space="preserve">To reduce this dependence on one fitted tree, we extend the concentration-index split rule to a random forest. The forest fits many greedy CI trees to perturbed versions of the training data. Within each tree, node splitting follows the same direct maximisation of concentration-index gain over admissible variable-split pairs used by the single-</w:t>
      </w:r>
      <w:hyperlink w:anchor="sec-algorithmic-summary">
        <w:r>
          <w:rPr>
            <w:rStyle w:val="Hyperlink"/>
          </w:rPr>
          <w:t xml:space="preserve">concentration-index tree</w:t>
        </w:r>
      </w:hyperlink>
      <w:r>
        <w:t xml:space="preserve">. Randomness enters through row perturbation and, optionally, through mtry, the number of candidate predictors searched at each node. The final prediction is obtained by aggregating predictions across trees.</w:t>
      </w:r>
    </w:p>
    <w:p>
      <w:pPr>
        <w:pStyle w:val="BodyText"/>
      </w:pPr>
      <w:r>
        <w:t xml:space="preserve">The forest contains</w:t>
      </w:r>
      <w:r>
        <w:t xml:space="preserve"> </w:t>
      </w:r>
      <m:oMath>
        <m:r>
          <m:t>B</m:t>
        </m:r>
      </m:oMath>
      <w:r>
        <w:t xml:space="preserve"> </w:t>
      </w:r>
      <w:r>
        <w:t xml:space="preserve">trees, and</w:t>
      </w:r>
      <w:r>
        <w:t xml:space="preserve"> </w:t>
      </w:r>
      <m:oMath>
        <m:sSub>
          <m:e>
            <m:acc>
              <m:accPr>
                <m:chr m:val="̂"/>
              </m:accPr>
              <m:e>
                <m:r>
                  <m:t>f</m:t>
                </m:r>
              </m:e>
            </m:acc>
          </m:e>
          <m:sub>
            <m:r>
              <m:t>b</m:t>
            </m:r>
          </m:sub>
        </m:sSub>
        <m:r>
          <m:rPr>
            <m:sty m:val="p"/>
          </m:rPr>
          <m:t>(</m:t>
        </m:r>
        <m:r>
          <m:t>x</m:t>
        </m:r>
        <m:r>
          <m:rPr>
            <m:sty m:val="p"/>
          </m:rPr>
          <m:t>)</m:t>
        </m:r>
      </m:oMath>
      <w:r>
        <w:t xml:space="preserve"> </w:t>
      </w:r>
      <w:r>
        <w:t xml:space="preserve">is the prediction from tree</w:t>
      </w:r>
      <w:r>
        <w:t xml:space="preserve"> </w:t>
      </w:r>
      <m:oMath>
        <m:r>
          <m:t>b</m:t>
        </m:r>
      </m:oMath>
      <w:r>
        <w:t xml:space="preserve">, the forest prediction is</w:t>
      </w:r>
    </w:p>
    <w:p>
      <w:pPr>
        <w:pStyle w:val="BodyText"/>
      </w:pPr>
      <m:oMathPara>
        <m:oMathParaPr>
          <m:jc m:val="center"/>
        </m:oMathParaPr>
        <m:oMath>
          <m:sSub>
            <m:e>
              <m:acc>
                <m:accPr>
                  <m:chr m:val="̂"/>
                </m:accPr>
                <m:e>
                  <m:r>
                    <m:t>f</m:t>
                  </m:r>
                </m:e>
              </m:acc>
            </m:e>
            <m:sub>
              <m:r>
                <m:t>R</m:t>
              </m:r>
              <m:r>
                <m:t>F</m:t>
              </m:r>
            </m:sub>
          </m:sSub>
          <m:r>
            <m:rPr>
              <m:sty m:val="p"/>
            </m:rPr>
            <m:t>(</m:t>
          </m:r>
          <m:r>
            <m:t>x</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acc>
                    <m:accPr>
                      <m:chr m:val="̂"/>
                    </m:accPr>
                    <m:e>
                      <m:r>
                        <m:t>f</m:t>
                      </m:r>
                    </m:e>
                  </m:acc>
                </m:e>
                <m:sub>
                  <m:r>
                    <m:t>b</m:t>
                  </m:r>
                </m:sub>
              </m:sSub>
            </m:e>
          </m:nary>
          <m:r>
            <m:rPr>
              <m:sty m:val="p"/>
            </m:rPr>
            <m:t>(</m:t>
          </m:r>
          <m:r>
            <m:t>x</m:t>
          </m:r>
          <m:r>
            <m:rPr>
              <m:sty m:val="p"/>
            </m:rPr>
            <m:t>)</m:t>
          </m:r>
          <m:r>
            <m:rPr>
              <m:sty m:val="p"/>
            </m:rPr>
            <m:t>.</m:t>
          </m:r>
        </m:oMath>
      </m:oMathPara>
    </w:p>
    <w:p>
      <w:pPr>
        <w:pStyle w:val="FirstParagraph"/>
      </w:pPr>
      <w:r>
        <w:t xml:space="preserve">The interpretation of</w:t>
      </w:r>
      <w:r>
        <w:t xml:space="preserve"> </w:t>
      </w:r>
      <m:oMath>
        <m:sSub>
          <m:e>
            <m:acc>
              <m:accPr>
                <m:chr m:val="̂"/>
              </m:accPr>
              <m:e>
                <m:r>
                  <m:t>f</m:t>
                </m:r>
              </m:e>
            </m:acc>
          </m:e>
          <m:sub>
            <m:r>
              <m:t>R</m:t>
            </m:r>
            <m:r>
              <m:t>F</m:t>
            </m:r>
          </m:sub>
        </m:sSub>
        <m:r>
          <m:rPr>
            <m:sty m:val="p"/>
          </m:rPr>
          <m:t>(</m:t>
        </m:r>
        <m:r>
          <m:t>x</m:t>
        </m:r>
        <m:r>
          <m:rPr>
            <m:sty m:val="p"/>
          </m:rPr>
          <m:t>)</m:t>
        </m:r>
      </m:oMath>
      <w:r>
        <w:t xml:space="preserve"> </w:t>
      </w:r>
      <w:r>
        <w:t xml:space="preserve">follows from how the forest is fitted. Since the trees are grown to reduce concentration-index impurity, not to minimise prediction error, we do not read the forest output as a fully calibrated probability of under-five death. It is a mortality-scale score obtained by averaging terminal-node mortality values across many inequality-based trees. We use it to describe the subgroup structure learned by the forest, not as the main target of a predictive risk model.</w:t>
      </w:r>
    </w:p>
    <w:p>
      <w:pPr>
        <w:pStyle w:val="BodyText"/>
      </w:pPr>
      <w:r>
        <w:t xml:space="preserve">Averaging over many such inequality-oriented trees makes the fitted values less dependent on any single partition. It allows the model to reflect more complex combinations of child, maternal, household, and geographic characteristics. The cost is that the final forest is no longer explainable. To address unexplainability, we fit a surrogate tree</w:t>
      </w:r>
      <w:r>
        <w:t xml:space="preserve"> </w:t>
      </w:r>
      <w:r>
        <w:t xml:space="preserve">(</w:t>
      </w:r>
      <w:hyperlink w:anchor="ref-banerjee2012representative_trees">
        <w:r>
          <w:rPr>
            <w:rStyle w:val="Hyperlink"/>
          </w:rPr>
          <w:t xml:space="preserve">Banerjee, Ding and Noone, 2012</w:t>
        </w:r>
      </w:hyperlink>
      <w:r>
        <w:t xml:space="preserve">)</w:t>
      </w:r>
      <w:r>
        <w:t xml:space="preserve"> </w:t>
      </w:r>
      <w:r>
        <w:t xml:space="preserve">to summarise the forest. The surrogate tree uses the forest prediction</w:t>
      </w:r>
      <w:r>
        <w:t xml:space="preserve"> </w:t>
      </w:r>
      <m:oMath>
        <m:sSub>
          <m:e>
            <m:acc>
              <m:accPr>
                <m:chr m:val="̂"/>
              </m:accPr>
              <m:e>
                <m:r>
                  <m:t>f</m:t>
                </m:r>
              </m:e>
            </m:acc>
          </m:e>
          <m:sub>
            <m:r>
              <m:t>R</m:t>
            </m:r>
            <m:r>
              <m:t>F</m:t>
            </m:r>
          </m:sub>
        </m:sSub>
        <m:r>
          <m:rPr>
            <m:sty m:val="p"/>
          </m:rPr>
          <m:t>(</m:t>
        </m:r>
        <m:sSub>
          <m:e>
            <m:r>
              <m:t>x</m:t>
            </m:r>
          </m:e>
          <m:sub>
            <m:r>
              <m:t>i</m:t>
            </m:r>
          </m:sub>
        </m:sSub>
        <m:r>
          <m:rPr>
            <m:sty m:val="p"/>
          </m:rPr>
          <m:t>)</m:t>
        </m:r>
      </m:oMath>
      <w:r>
        <w:t xml:space="preserve"> </w:t>
      </w:r>
      <w:r>
        <w:t xml:space="preserve">as its outcome, with the same candidate predictors used in the main analysis. It does not replace the forest. Its role is to give a smaller set of rules that approximates the main subgroup structure learned by the forest. The terminal nodes of this surrogate tree can then be described using their average forest-predicted mortality risk and their concentration index. This gives a readable summary of how the forest separates children into inequality-relevant groups, while keeping the random forest as the more flexible model.</w:t>
      </w:r>
    </w:p>
    <w:bookmarkEnd w:id="34"/>
    <w:bookmarkStart w:id="35" w:name="sec-model-selection"/>
    <w:p>
      <w:pPr>
        <w:pStyle w:val="Heading3"/>
      </w:pPr>
      <w:r>
        <w:t xml:space="preserve">Evaluation and Model Selection of Tree-Based Methods for Inequality Analysis</w:t>
      </w:r>
    </w:p>
    <w:p>
      <w:pPr>
        <w:pStyle w:val="FirstParagraph"/>
      </w:pPr>
      <w:r>
        <w:t xml:space="preserve">The purpose of the inequality tree is to split the sample into subgroups where under-five mortality is no longer strongly concentrated by socioeconomic position. In an ideal terminal node, the selected inequality index would be close to zero. Model selection, therefore, evaluates how much of the root-node impurity is removed after partitioning, and how much impurity remains inside the terminal nodes. For a fitted tree, the remaining impurity is summarised by the weighted terminal-node impurity:</w:t>
      </w:r>
    </w:p>
    <w:p>
      <w:pPr>
        <w:pStyle w:val="BodyText"/>
      </w:pPr>
      <m:oMathPara>
        <m:oMathParaPr>
          <m:jc m:val="center"/>
        </m:oMathParaPr>
        <m:oMath>
          <m:nary>
            <m:naryPr>
              <m:chr m:val="∑"/>
              <m:limLoc m:val="undOvr"/>
              <m:subHide m:val="off"/>
              <m:supHide m:val="on"/>
            </m:naryPr>
            <m:sub>
              <m:r>
                <m:t>ℓ</m:t>
              </m:r>
              <m:r>
                <m:rPr>
                  <m:sty m:val="p"/>
                </m:rPr>
                <m:t>∈</m:t>
              </m:r>
              <m:r>
                <m:rPr>
                  <m:scr m:val="script"/>
                  <m:sty m:val="p"/>
                </m:rPr>
                <m:t>L</m:t>
              </m:r>
            </m:sub>
            <m:sup>
              <m:r>
                <m:t>​</m:t>
              </m:r>
            </m:sup>
            <m:e>
              <m:f>
                <m:fPr>
                  <m:type m:val="bar"/>
                </m:fPr>
                <m:num>
                  <m:sSub>
                    <m:e>
                      <m:r>
                        <m:t>W</m:t>
                      </m:r>
                    </m:e>
                    <m:sub>
                      <m:r>
                        <m:t>ℓ</m:t>
                      </m:r>
                    </m:sub>
                  </m:sSub>
                </m:num>
                <m:den>
                  <m:r>
                    <m:t>W</m:t>
                  </m:r>
                </m:den>
              </m:f>
            </m:e>
          </m:nary>
          <m:sSub>
            <m:e>
              <m:r>
                <m:t>I</m:t>
              </m:r>
            </m:e>
            <m:sub>
              <m:r>
                <m:t>m</m:t>
              </m:r>
            </m:sub>
          </m:sSub>
          <m:r>
            <m:rPr>
              <m:sty m:val="p"/>
            </m:rPr>
            <m:t>(</m:t>
          </m:r>
          <m:sSub>
            <m:e>
              <m:r>
                <m:t>D</m:t>
              </m:r>
            </m:e>
            <m:sub>
              <m:r>
                <m:t>ℓ</m:t>
              </m:r>
            </m:sub>
          </m:sSub>
          <m:r>
            <m:rPr>
              <m:sty m:val="p"/>
            </m:rPr>
            <m:t>)</m:t>
          </m:r>
          <m:r>
            <m:rPr>
              <m:sty m:val="p"/>
            </m:rPr>
            <m:t>.</m:t>
          </m:r>
        </m:oMath>
      </m:oMathPara>
    </w:p>
    <w:p>
      <w:pPr>
        <w:pStyle w:val="FirstParagraph"/>
      </w:pPr>
      <w:r>
        <w:t xml:space="preserve">Here</w:t>
      </w:r>
      <w:r>
        <w:t xml:space="preserve"> </w:t>
      </w:r>
      <m:oMath>
        <m:r>
          <m:rPr>
            <m:scr m:val="script"/>
            <m:sty m:val="p"/>
          </m:rPr>
          <m:t>L</m:t>
        </m:r>
      </m:oMath>
      <w:r>
        <w:t xml:space="preserve"> </w:t>
      </w:r>
      <w:r>
        <w:t xml:space="preserve">is the set of terminal nodes,</w:t>
      </w:r>
      <w:r>
        <w:t xml:space="preserve"> </w:t>
      </w:r>
      <m:oMath>
        <m:sSub>
          <m:e>
            <m:r>
              <m:t>W</m:t>
            </m:r>
          </m:e>
          <m:sub>
            <m:r>
              <m:t>ℓ</m:t>
            </m:r>
          </m:sub>
        </m:sSub>
        <m:r>
          <m:rPr>
            <m:sty m:val="p"/>
          </m:rPr>
          <m:t>/</m:t>
        </m:r>
        <m:r>
          <m:t>W</m:t>
        </m:r>
      </m:oMath>
      <w:r>
        <w:t xml:space="preserve"> </w:t>
      </w:r>
      <w:r>
        <w:t xml:space="preserve">is the share of total survey weight in terminal node</w:t>
      </w:r>
      <w:r>
        <w:t xml:space="preserve"> </w:t>
      </w:r>
      <m:oMath>
        <m:r>
          <m:t>ℓ</m:t>
        </m:r>
      </m:oMath>
      <w:r>
        <w:t xml:space="preserve">, and</w:t>
      </w:r>
      <w:r>
        <w:t xml:space="preserve"> </w:t>
      </w:r>
      <m:oMath>
        <m:sSub>
          <m:e>
            <m:r>
              <m:t>I</m:t>
            </m:r>
          </m:e>
          <m:sub>
            <m:r>
              <m:t>m</m:t>
            </m:r>
          </m:sub>
        </m:sSub>
        <m:r>
          <m:rPr>
            <m:sty m:val="p"/>
          </m:rPr>
          <m:t>(</m:t>
        </m:r>
        <m:sSub>
          <m:e>
            <m:r>
              <m:t>D</m:t>
            </m:r>
          </m:e>
          <m:sub>
            <m:r>
              <m:t>ℓ</m:t>
            </m:r>
          </m:sub>
        </m:sSub>
        <m:r>
          <m:rPr>
            <m:sty m:val="p"/>
          </m:rPr>
          <m:t>)</m:t>
        </m:r>
      </m:oMath>
      <w:r>
        <w:t xml:space="preserve"> </w:t>
      </w:r>
      <w:r>
        <w:t xml:space="preserve">is the selected node impurity. For</w:t>
      </w:r>
      <w:r>
        <w:t xml:space="preserve"> </w:t>
      </w:r>
      <m:oMath>
        <m:r>
          <m:t>C</m:t>
        </m:r>
        <m:r>
          <m:t>I</m:t>
        </m:r>
      </m:oMath>
      <w:r>
        <w:t xml:space="preserve">,</w:t>
      </w:r>
      <w:r>
        <w:t xml:space="preserve"> </w:t>
      </w:r>
      <m:oMath>
        <m:r>
          <m:t>C</m:t>
        </m:r>
        <m:r>
          <m:t>I</m:t>
        </m:r>
        <m:r>
          <m:t>g</m:t>
        </m:r>
      </m:oMath>
      <w:r>
        <w:t xml:space="preserve">, and</w:t>
      </w:r>
      <w:r>
        <w:t xml:space="preserve"> </w:t>
      </w:r>
      <m:oMath>
        <m:r>
          <m:t>C</m:t>
        </m:r>
        <m:r>
          <m:t>I</m:t>
        </m:r>
        <m:r>
          <m:t>c</m:t>
        </m:r>
      </m:oMath>
      <w:r>
        <w:t xml:space="preserve">,</w:t>
      </w:r>
      <w:r>
        <w:t xml:space="preserve"> </w:t>
      </w:r>
      <m:oMath>
        <m:sSub>
          <m:e>
            <m:r>
              <m:t>I</m:t>
            </m:r>
          </m:e>
          <m:sub>
            <m:r>
              <m:t>m</m:t>
            </m:r>
          </m:sub>
        </m:sSub>
        <m:r>
          <m:rPr>
            <m:sty m:val="p"/>
          </m:rPr>
          <m:t>(</m:t>
        </m:r>
        <m:r>
          <m:t>D</m:t>
        </m:r>
        <m:r>
          <m:t>ℓ</m:t>
        </m:r>
        <m:r>
          <m:rPr>
            <m:sty m:val="p"/>
          </m:rPr>
          <m:t>)</m:t>
        </m:r>
      </m:oMath>
      <w:r>
        <w:t xml:space="preserve"> </w:t>
      </w:r>
      <w:r>
        <w:t xml:space="preserve">is the absolute value of the selected concentration index. For the level-dependent measure,</w:t>
      </w:r>
      <w:r>
        <w:t xml:space="preserve"> </w:t>
      </w:r>
      <m:oMath>
        <m:sSub>
          <m:e>
            <m:r>
              <m:t>I</m:t>
            </m:r>
          </m:e>
          <m:sub>
            <m:r>
              <m:t>L</m:t>
            </m:r>
          </m:sub>
        </m:sSub>
        <m:r>
          <m:rPr>
            <m:sty m:val="p"/>
          </m:rPr>
          <m:t>(</m:t>
        </m:r>
        <m:sSub>
          <m:e>
            <m:r>
              <m:t>D</m:t>
            </m:r>
          </m:e>
          <m:sub>
            <m:r>
              <m:t>ℓ</m:t>
            </m:r>
          </m:sub>
        </m:sSub>
        <m:r>
          <m:rPr>
            <m:sty m:val="p"/>
          </m:rPr>
          <m:t>)</m:t>
        </m:r>
        <m:r>
          <m:rPr>
            <m:sty m:val="p"/>
          </m:rPr>
          <m:t>=</m:t>
        </m:r>
        <m:r>
          <m:rPr>
            <m:sty m:val="p"/>
          </m:rPr>
          <m:t>|</m:t>
        </m:r>
        <m:r>
          <m:t>L</m:t>
        </m:r>
        <m:r>
          <m:rPr>
            <m:sty m:val="p"/>
          </m:rPr>
          <m:t>(</m:t>
        </m:r>
        <m:sSub>
          <m:e>
            <m:r>
              <m:t>D</m:t>
            </m:r>
          </m:e>
          <m:sub>
            <m:r>
              <m:t>ℓ</m:t>
            </m:r>
          </m:sub>
        </m:sSub>
        <m:r>
          <m:rPr>
            <m:sty m:val="p"/>
          </m:rPr>
          <m:t>)</m:t>
        </m:r>
        <m:r>
          <m:rPr>
            <m:sty m:val="p"/>
          </m:rPr>
          <m:t>|</m:t>
        </m:r>
      </m:oMath>
      <w:r>
        <w:t xml:space="preserve">. Lower values mean that the terminal nodes are closer to the target of zero within-node socioeconomic inequality.</w:t>
      </w:r>
    </w:p>
    <w:p>
      <w:pPr>
        <w:pStyle w:val="BodyText"/>
      </w:pPr>
      <w:r>
        <w:t xml:space="preserve">The stopping rules introduced earlier are treated as hyperparameters. Cross-validation is used to select settings that yield a high gain score. For validation, we use the held-out inequality gain:</w:t>
      </w:r>
    </w:p>
    <w:p>
      <w:pPr>
        <w:pStyle w:val="BodyText"/>
      </w:pPr>
      <m:oMathPara>
        <m:oMathParaPr>
          <m:jc m:val="center"/>
        </m:oMathParaPr>
        <m:oMath>
          <m:sSubSup>
            <m:e>
              <m:r>
                <m:t>G</m:t>
              </m:r>
            </m:e>
            <m:sub>
              <m:r>
                <m:t>m</m:t>
              </m:r>
            </m:sub>
            <m:sup>
              <m:r>
                <m:t>v</m:t>
              </m:r>
              <m:r>
                <m:t>a</m:t>
              </m:r>
              <m:r>
                <m:t>l</m:t>
              </m:r>
            </m:sup>
          </m:sSubSup>
          <m:r>
            <m:rPr>
              <m:sty m:val="p"/>
            </m:rPr>
            <m:t>(</m:t>
          </m:r>
          <m:r>
            <m:t>c</m:t>
          </m:r>
          <m:r>
            <m:rPr>
              <m:sty m:val="p"/>
            </m:rPr>
            <m:t>,</m:t>
          </m:r>
          <m:r>
            <m:t>v</m:t>
          </m:r>
          <m:r>
            <m:rPr>
              <m:sty m:val="p"/>
            </m:rPr>
            <m:t>)</m:t>
          </m:r>
          <m:r>
            <m:rPr>
              <m:sty m:val="p"/>
            </m:rPr>
            <m:t>=</m:t>
          </m:r>
          <m:sSub>
            <m:e>
              <m:r>
                <m:t>I</m:t>
              </m:r>
            </m:e>
            <m:sub>
              <m:r>
                <m:t>m</m:t>
              </m:r>
            </m:sub>
          </m:sSub>
          <m:r>
            <m:rPr>
              <m:sty m:val="p"/>
            </m:rPr>
            <m:t>(</m:t>
          </m:r>
          <m:sSub>
            <m:e>
              <m:r>
                <m:t>D</m:t>
              </m:r>
            </m:e>
            <m:sub>
              <m:r>
                <m:t>v</m:t>
              </m:r>
            </m:sub>
          </m:sSub>
          <m:r>
            <m:rPr>
              <m:sty m:val="p"/>
            </m:rPr>
            <m:t>)</m:t>
          </m:r>
          <m:r>
            <m:rPr>
              <m:sty m:val="p"/>
            </m:rPr>
            <m:t>−</m:t>
          </m:r>
          <m:nary>
            <m:naryPr>
              <m:chr m:val="∑"/>
              <m:limLoc m:val="undOvr"/>
              <m:subHide m:val="off"/>
              <m:supHide m:val="on"/>
            </m:naryPr>
            <m:sub>
              <m:r>
                <m:t>ℓ</m:t>
              </m:r>
              <m:r>
                <m:rPr>
                  <m:sty m:val="p"/>
                </m:rPr>
                <m:t>∈</m:t>
              </m:r>
              <m:sSub>
                <m:e>
                  <m:r>
                    <m:rPr>
                      <m:scr m:val="script"/>
                      <m:sty m:val="p"/>
                    </m:rPr>
                    <m:t>L</m:t>
                  </m:r>
                </m:e>
                <m:sub>
                  <m:r>
                    <m:t>c</m:t>
                  </m:r>
                </m:sub>
              </m:sSub>
            </m:sub>
            <m:sup>
              <m:r>
                <m:t>​</m:t>
              </m:r>
            </m:sup>
            <m:e>
              <m:f>
                <m:fPr>
                  <m:type m:val="bar"/>
                </m:fPr>
                <m:num>
                  <m:sSub>
                    <m:e>
                      <m:r>
                        <m:t>W</m:t>
                      </m:r>
                    </m:e>
                    <m:sub>
                      <m:r>
                        <m:t>ℓ</m:t>
                      </m:r>
                      <m:r>
                        <m:t>v</m:t>
                      </m:r>
                    </m:sub>
                  </m:sSub>
                </m:num>
                <m:den>
                  <m:sSub>
                    <m:e>
                      <m:r>
                        <m:t>W</m:t>
                      </m:r>
                    </m:e>
                    <m:sub>
                      <m:r>
                        <m:t>v</m:t>
                      </m:r>
                    </m:sub>
                  </m:sSub>
                </m:den>
              </m:f>
            </m:e>
          </m:nary>
          <m:sSub>
            <m:e>
              <m:r>
                <m:t>I</m:t>
              </m:r>
            </m:e>
            <m:sub>
              <m:r>
                <m:t>m</m:t>
              </m:r>
            </m:sub>
          </m:sSub>
          <m:r>
            <m:rPr>
              <m:sty m:val="p"/>
            </m:rPr>
            <m:t>(</m:t>
          </m:r>
          <m:sSub>
            <m:e>
              <m:r>
                <m:t>D</m:t>
              </m:r>
            </m:e>
            <m:sub>
              <m:r>
                <m:t>ℓ</m:t>
              </m:r>
              <m:r>
                <m:t>v</m:t>
              </m:r>
            </m:sub>
          </m:sSub>
          <m:r>
            <m:rPr>
              <m:sty m:val="p"/>
            </m:rPr>
            <m:t>)</m:t>
          </m:r>
          <m:r>
            <m:rPr>
              <m:sty m:val="p"/>
            </m:rPr>
            <m:t>.</m:t>
          </m:r>
        </m:oMath>
      </m:oMathPara>
    </w:p>
    <w:p>
      <w:pPr>
        <w:pStyle w:val="FirstParagraph"/>
      </w:pPr>
      <m:oMath>
        <m:sSub>
          <m:e>
            <m:r>
              <m:t>I</m:t>
            </m:r>
          </m:e>
          <m:sub>
            <m:r>
              <m:t>m</m:t>
            </m:r>
          </m:sub>
        </m:sSub>
        <m:r>
          <m:rPr>
            <m:sty m:val="p"/>
          </m:rPr>
          <m:t>(</m:t>
        </m:r>
        <m:sSub>
          <m:e>
            <m:r>
              <m:t>D</m:t>
            </m:r>
          </m:e>
          <m:sub>
            <m:r>
              <m:t>v</m:t>
            </m:r>
          </m:sub>
        </m:sSub>
        <m:r>
          <m:rPr>
            <m:sty m:val="p"/>
          </m:rPr>
          <m:t>)</m:t>
        </m:r>
      </m:oMath>
      <w:r>
        <w:t xml:space="preserve"> </w:t>
      </w:r>
      <w:r>
        <w:t xml:space="preserve">is the impurity of the validation fold before splitting. The summation is the impurity remaining after the validation observations are dropped from the fitted tree. If</w:t>
      </w:r>
      <w:r>
        <w:t xml:space="preserve"> </w:t>
      </w:r>
      <m:oMath>
        <m:sSubSup>
          <m:e>
            <m:r>
              <m:t>G</m:t>
            </m:r>
          </m:e>
          <m:sub>
            <m:r>
              <m:t>m</m:t>
            </m:r>
          </m:sub>
          <m:sup>
            <m:r>
              <m:t>v</m:t>
            </m:r>
            <m:r>
              <m:t>a</m:t>
            </m:r>
            <m:r>
              <m:t>l</m:t>
            </m:r>
          </m:sup>
        </m:sSubSup>
        <m:r>
          <m:rPr>
            <m:sty m:val="p"/>
          </m:rPr>
          <m:t>(</m:t>
        </m:r>
        <m:r>
          <m:t>c</m:t>
        </m:r>
        <m:r>
          <m:rPr>
            <m:sty m:val="p"/>
          </m:rPr>
          <m:t>,</m:t>
        </m:r>
        <m:r>
          <m:t>v</m:t>
        </m:r>
        <m:r>
          <m:rPr>
            <m:sty m:val="p"/>
          </m:rPr>
          <m:t>)</m:t>
        </m:r>
      </m:oMath>
      <w:r>
        <w:t xml:space="preserve"> </w:t>
      </w:r>
      <w:r>
        <w:t xml:space="preserve">is close to absolute root inequality, the tree has reduced the validity on-fold impurity compared with the root node. If it is close to zero, the split structure has added a little. If it is negative, the tree has not transferred well to the held-out fold. We also scale this gain by the validation-fold root impurity:</w:t>
      </w:r>
    </w:p>
    <w:p>
      <w:pPr>
        <w:pStyle w:val="BodyText"/>
      </w:pPr>
      <m:oMathPara>
        <m:oMathParaPr>
          <m:jc m:val="center"/>
        </m:oMathParaPr>
        <m:oMath>
          <m:r>
            <m:t>R</m:t>
          </m:r>
          <m:sSubSup>
            <m:e>
              <m:r>
                <m:t>G</m:t>
              </m:r>
            </m:e>
            <m:sub>
              <m:r>
                <m:t>m</m:t>
              </m:r>
            </m:sub>
            <m:sup>
              <m:r>
                <m:t>v</m:t>
              </m:r>
              <m:r>
                <m:t>a</m:t>
              </m:r>
              <m:r>
                <m:t>l</m:t>
              </m:r>
            </m:sup>
          </m:sSubSup>
          <m:r>
            <m:rPr>
              <m:sty m:val="p"/>
            </m:rPr>
            <m:t>(</m:t>
          </m:r>
          <m:r>
            <m:t>c</m:t>
          </m:r>
          <m:r>
            <m:rPr>
              <m:sty m:val="p"/>
            </m:rPr>
            <m:t>,</m:t>
          </m:r>
          <m:r>
            <m:t>v</m:t>
          </m:r>
          <m:r>
            <m:rPr>
              <m:sty m:val="p"/>
            </m:rPr>
            <m:t>)</m:t>
          </m:r>
          <m:r>
            <m:rPr>
              <m:sty m:val="p"/>
            </m:rPr>
            <m:t>=</m:t>
          </m:r>
          <m:f>
            <m:fPr>
              <m:type m:val="bar"/>
            </m:fPr>
            <m:num>
              <m:sSubSup>
                <m:e>
                  <m:r>
                    <m:t>G</m:t>
                  </m:r>
                </m:e>
                <m:sub>
                  <m:r>
                    <m:t>m</m:t>
                  </m:r>
                </m:sub>
                <m:sup>
                  <m:r>
                    <m:t>v</m:t>
                  </m:r>
                  <m:r>
                    <m:t>a</m:t>
                  </m:r>
                  <m:r>
                    <m:t>l</m:t>
                  </m:r>
                </m:sup>
              </m:sSubSup>
              <m:r>
                <m:rPr>
                  <m:sty m:val="p"/>
                </m:rPr>
                <m:t>(</m:t>
              </m:r>
              <m:r>
                <m:t>c</m:t>
              </m:r>
              <m:r>
                <m:rPr>
                  <m:sty m:val="p"/>
                </m:rPr>
                <m:t>,</m:t>
              </m:r>
              <m:r>
                <m:t>v</m:t>
              </m:r>
              <m:r>
                <m:rPr>
                  <m:sty m:val="p"/>
                </m:rPr>
                <m:t>)</m:t>
              </m:r>
            </m:num>
            <m:den>
              <m:sSub>
                <m:e>
                  <m:r>
                    <m:t>I</m:t>
                  </m:r>
                </m:e>
                <m:sub>
                  <m:r>
                    <m:t>m</m:t>
                  </m:r>
                </m:sub>
              </m:sSub>
              <m:r>
                <m:rPr>
                  <m:sty m:val="p"/>
                </m:rPr>
                <m:t>(</m:t>
              </m:r>
              <m:sSub>
                <m:e>
                  <m:r>
                    <m:t>D</m:t>
                  </m:r>
                </m:e>
                <m:sub>
                  <m:r>
                    <m:t>v</m:t>
                  </m:r>
                </m:sub>
              </m:sSub>
              <m:r>
                <m:rPr>
                  <m:sty m:val="p"/>
                </m:rPr>
                <m:t>)</m:t>
              </m:r>
            </m:den>
          </m:f>
          <m:r>
            <m:rPr>
              <m:sty m:val="p"/>
            </m:rPr>
            <m:t>.</m:t>
          </m:r>
        </m:oMath>
      </m:oMathPara>
    </w:p>
    <w:p>
      <w:pPr>
        <w:pStyle w:val="FirstParagraph"/>
      </w:pPr>
      <w:r>
        <w:t xml:space="preserve">where</w:t>
      </w:r>
      <w:r>
        <w:t xml:space="preserve"> </w:t>
      </w:r>
      <m:oMath>
        <m:r>
          <m:t>c</m:t>
        </m:r>
      </m:oMath>
      <w:r>
        <w:t xml:space="preserve"> </w:t>
      </w:r>
      <w:r>
        <w:t xml:space="preserve">is the tunning setting being evaluated,</w:t>
      </w:r>
      <w:r>
        <w:t xml:space="preserve"> </w:t>
      </w:r>
      <m:oMath>
        <m:r>
          <m:t>v</m:t>
        </m:r>
      </m:oMath>
      <w:r>
        <w:t xml:space="preserve"> </w:t>
      </w:r>
      <w:r>
        <w:t xml:space="preserve">is the validation fold, and</w:t>
      </w:r>
      <w:r>
        <w:t xml:space="preserve"> </w:t>
      </w:r>
      <m:oMath>
        <m:sSub>
          <m:e>
            <m:r>
              <m:t>I</m:t>
            </m:r>
          </m:e>
          <m:sub>
            <m:r>
              <m:t>m</m:t>
            </m:r>
          </m:sub>
        </m:sSub>
        <m:r>
          <m:rPr>
            <m:sty m:val="p"/>
          </m:rPr>
          <m:t>(</m:t>
        </m:r>
        <m:sSub>
          <m:e>
            <m:r>
              <m:t>D</m:t>
            </m:r>
          </m:e>
          <m:sub>
            <m:r>
              <m:t>v</m:t>
            </m:r>
          </m:sub>
        </m:sSub>
        <m:r>
          <m:rPr>
            <m:sty m:val="p"/>
          </m:rPr>
          <m:t>)</m:t>
        </m:r>
      </m:oMath>
      <w:r>
        <w:t xml:space="preserve"> </w:t>
      </w:r>
      <w:r>
        <w:t xml:space="preserve">is the impurity of the validation fold before splitting. This gives the proportion of root impurity removed by the fitted partition. For each impurity criterion, we choose the tuning setting with the highest average relative validation gain:</w:t>
      </w:r>
    </w:p>
    <w:p>
      <w:pPr>
        <w:pStyle w:val="BodyText"/>
      </w:pPr>
      <m:oMathPara>
        <m:oMathParaPr>
          <m:jc m:val="center"/>
        </m:oMathParaPr>
        <m:oMath>
          <m:sSubSup>
            <m:e>
              <m:bar>
                <m:barPr>
                  <m:pos m:val="top"/>
                </m:barPr>
                <m:e>
                  <m:r>
                    <m:t>R</m:t>
                  </m:r>
                  <m:r>
                    <m:t>G</m:t>
                  </m:r>
                </m:e>
              </m:bar>
            </m:e>
            <m:sub>
              <m:r>
                <m:t>m</m:t>
              </m:r>
            </m:sub>
            <m:sup>
              <m:r>
                <m:t>v</m:t>
              </m:r>
              <m:r>
                <m:t>a</m:t>
              </m:r>
              <m:r>
                <m:t>l</m:t>
              </m:r>
            </m:sup>
          </m:sSubSup>
          <m:r>
            <m:rPr>
              <m:sty m:val="p"/>
            </m:rPr>
            <m:t>(</m:t>
          </m:r>
          <m:r>
            <m:t>c</m:t>
          </m:r>
          <m:r>
            <m:rPr>
              <m:sty m:val="p"/>
            </m:rPr>
            <m:t>)</m:t>
          </m:r>
          <m:r>
            <m:rPr>
              <m:sty m:val="p"/>
            </m:rPr>
            <m:t>=</m:t>
          </m:r>
          <m:f>
            <m:fPr>
              <m:type m:val="bar"/>
            </m:fPr>
            <m:num>
              <m:r>
                <m:t>1</m:t>
              </m:r>
            </m:num>
            <m:den>
              <m:r>
                <m:t>V</m:t>
              </m:r>
            </m:den>
          </m:f>
          <m:nary>
            <m:naryPr>
              <m:chr m:val="∑"/>
              <m:limLoc m:val="undOvr"/>
              <m:subHide m:val="off"/>
              <m:supHide m:val="off"/>
            </m:naryPr>
            <m:sub>
              <m:r>
                <m:t>v</m:t>
              </m:r>
              <m:r>
                <m:rPr>
                  <m:sty m:val="p"/>
                </m:rPr>
                <m:t>=</m:t>
              </m:r>
              <m:r>
                <m:t>1</m:t>
              </m:r>
            </m:sub>
            <m:sup>
              <m:r>
                <m:t>V</m:t>
              </m:r>
            </m:sup>
            <m:e>
              <m:r>
                <m:t>R</m:t>
              </m:r>
            </m:e>
          </m:nary>
          <m:sSubSup>
            <m:e>
              <m:r>
                <m:t>G</m:t>
              </m:r>
            </m:e>
            <m:sub>
              <m:r>
                <m:t>m</m:t>
              </m:r>
            </m:sub>
            <m:sup>
              <m:r>
                <m:t>v</m:t>
              </m:r>
              <m:r>
                <m:t>a</m:t>
              </m:r>
              <m:r>
                <m:t>l</m:t>
              </m:r>
            </m:sup>
          </m:sSubSup>
          <m:r>
            <m:rPr>
              <m:sty m:val="p"/>
            </m:rPr>
            <m:t>(</m:t>
          </m:r>
          <m:r>
            <m:t>c</m:t>
          </m:r>
          <m:r>
            <m:rPr>
              <m:sty m:val="p"/>
            </m:rPr>
            <m:t>,</m:t>
          </m:r>
          <m:r>
            <m:t>v</m:t>
          </m:r>
          <m:r>
            <m:rPr>
              <m:sty m:val="p"/>
            </m:rPr>
            <m:t>)</m:t>
          </m:r>
          <m:r>
            <m:rPr>
              <m:sty m:val="p"/>
            </m:rPr>
            <m:t>,</m:t>
          </m:r>
        </m:oMath>
      </m:oMathPara>
    </w:p>
    <w:p>
      <w:pPr>
        <w:pStyle w:val="FirstParagraph"/>
      </w:pPr>
      <m:oMathPara>
        <m:oMathParaPr>
          <m:jc m:val="center"/>
        </m:oMathParaPr>
        <m:oMath>
          <m:sSup>
            <m:e>
              <m:r>
                <m:t>c</m:t>
              </m:r>
            </m:e>
            <m:sup>
              <m:r>
                <m:rPr>
                  <m:sty m:val="p"/>
                </m:rPr>
                <m:t>*</m:t>
              </m:r>
            </m:sup>
          </m:sSup>
          <m:r>
            <m:rPr>
              <m:sty m:val="p"/>
            </m:rPr>
            <m:t>=</m:t>
          </m:r>
          <m:r>
            <m:rPr>
              <m:sty m:val="p"/>
            </m:rPr>
            <m:t>arg</m:t>
          </m:r>
          <m:limLow>
            <m:e>
              <m:r>
                <m:rPr>
                  <m:sty m:val="p"/>
                </m:rPr>
                <m:t>max</m:t>
              </m:r>
            </m:e>
            <m:lim>
              <m:r>
                <m:t>c</m:t>
              </m:r>
              <m:r>
                <m:rPr>
                  <m:sty m:val="p"/>
                </m:rPr>
                <m:t>∈</m:t>
              </m:r>
              <m:r>
                <m:rPr>
                  <m:scr m:val="script"/>
                  <m:sty m:val="p"/>
                </m:rPr>
                <m:t>C</m:t>
              </m:r>
            </m:lim>
          </m:limLow>
          <m:sSubSup>
            <m:e>
              <m:bar>
                <m:barPr>
                  <m:pos m:val="top"/>
                </m:barPr>
                <m:e>
                  <m:r>
                    <m:t>R</m:t>
                  </m:r>
                  <m:r>
                    <m:t>G</m:t>
                  </m:r>
                </m:e>
              </m:bar>
            </m:e>
            <m:sub>
              <m:r>
                <m:t>m</m:t>
              </m:r>
            </m:sub>
            <m:sup>
              <m:r>
                <m:t>v</m:t>
              </m:r>
              <m:r>
                <m:t>a</m:t>
              </m:r>
              <m:r>
                <m:t>l</m:t>
              </m:r>
            </m:sup>
          </m:sSubSup>
          <m:r>
            <m:rPr>
              <m:sty m:val="p"/>
            </m:rPr>
            <m:t>(</m:t>
          </m:r>
          <m:r>
            <m:t>c</m:t>
          </m:r>
          <m:r>
            <m:rPr>
              <m:sty m:val="p"/>
            </m:rPr>
            <m:t>)</m:t>
          </m:r>
          <m:r>
            <m:rPr>
              <m:sty m:val="p"/>
            </m:rPr>
            <m:t>.</m:t>
          </m:r>
        </m:oMath>
      </m:oMathPara>
    </w:p>
    <w:p>
      <w:pPr>
        <w:pStyle w:val="FirstParagraph"/>
      </w:pPr>
      <w:r>
        <w:t xml:space="preserve">Raw validation shows the reduction in the original scale of the chosen impurity measure. Training gain metrics are useful to judge overfitting. That is when there is a large gap between the metric chosen on the training set and that on the validation set.</w:t>
      </w:r>
    </w:p>
    <w:bookmarkEnd w:id="35"/>
    <w:bookmarkEnd w:id="36"/>
    <w:bookmarkStart w:id="44" w:name="sec-tree-based-decomposition"/>
    <w:p>
      <w:pPr>
        <w:pStyle w:val="Heading2"/>
      </w:pPr>
      <w:r>
        <w:t xml:space="preserve">SHAP based Decomposition Framework</w:t>
      </w:r>
    </w:p>
    <w:p>
      <w:pPr>
        <w:pStyle w:val="FirstParagraph"/>
      </w:pPr>
      <w:r>
        <w:t xml:space="preserve">Tree-based models, including random forests, can provide flexible predictions of health risk. This makes it hard to use them for decomposition, since the current decomposition methods rely on GLMs</w:t>
      </w:r>
      <w:r>
        <w:t xml:space="preserve">(</w:t>
      </w:r>
      <w:hyperlink w:anchor="ref-wagstaff2003decomposing">
        <w:r>
          <w:rPr>
            <w:rStyle w:val="Hyperlink"/>
          </w:rPr>
          <w:t xml:space="preserve">Wagstaff, van Doorslaer and Watanabe</w:t>
        </w:r>
        <w:r>
          <w:rPr>
            <w:rStyle w:val="Hyperlink"/>
          </w:rPr>
          <w:t xml:space="preserve">, 2003</w:t>
        </w:r>
      </w:hyperlink>
      <w:r>
        <w:t xml:space="preserve">;</w:t>
      </w:r>
      <w:r>
        <w:t xml:space="preserve"> </w:t>
      </w:r>
      <w:hyperlink w:anchor="ref-speybroeck2010decomposing">
        <w:r>
          <w:rPr>
            <w:rStyle w:val="Hyperlink"/>
          </w:rPr>
          <w:t xml:space="preserve">Speybroeck</w:t>
        </w:r>
        <w:r>
          <w:rPr>
            <w:rStyle w:val="Hyperlink"/>
          </w:rPr>
          <w:t xml:space="preserve"> </w:t>
        </w:r>
        <w:r>
          <w:rPr>
            <w:rStyle w:val="Hyperlink"/>
            <w:i/>
            <w:iCs/>
          </w:rPr>
          <w:t xml:space="preserve">et al.</w:t>
        </w:r>
        <w:r>
          <w:rPr>
            <w:rStyle w:val="Hyperlink"/>
          </w:rPr>
          <w:t xml:space="preserve">, 2010</w:t>
        </w:r>
      </w:hyperlink>
      <w:r>
        <w:t xml:space="preserve">)</w:t>
      </w:r>
      <w:r>
        <w:t xml:space="preserve">. To deal with this, this thesis uses SHAP values to rewrite the fitted predictions as a sum of feature-specific contributions.</w:t>
      </w:r>
    </w:p>
    <w:bookmarkStart w:id="37" w:name="sec-decomp-setup"/>
    <w:p>
      <w:pPr>
        <w:pStyle w:val="Heading3"/>
      </w:pPr>
      <w:r>
        <w:t xml:space="preserve">General Notation and Setup</w:t>
      </w:r>
    </w:p>
    <w:p>
      <w:pPr>
        <w:pStyle w:val="FirstParagraph"/>
      </w:pPr>
      <w:r>
        <w:t xml:space="preserve">We start with a dataset containing</w:t>
      </w:r>
      <w:r>
        <w:t xml:space="preserve"> </w:t>
      </w:r>
      <m:oMath>
        <m:r>
          <m:t>n</m:t>
        </m:r>
      </m:oMath>
      <w:r>
        <w:t xml:space="preserve"> </w:t>
      </w:r>
      <w:r>
        <w:t xml:space="preserve">individuals, indexed by</w:t>
      </w:r>
      <w:r>
        <w:t xml:space="preserve"> </w:t>
      </w:r>
      <m:oMath>
        <m:r>
          <m:t>i</m:t>
        </m:r>
        <m:r>
          <m:rPr>
            <m:sty m:val="p"/>
          </m:rPr>
          <m:t>=</m:t>
        </m:r>
        <m:r>
          <m:t>1</m:t>
        </m:r>
        <m:r>
          <m:rPr>
            <m:sty m:val="p"/>
          </m:rPr>
          <m:t>,</m:t>
        </m:r>
        <m:r>
          <m:rPr>
            <m:sty m:val="p"/>
          </m:rPr>
          <m:t>…</m:t>
        </m:r>
        <m:r>
          <m:rPr>
            <m:sty m:val="p"/>
          </m:rPr>
          <m:t>,</m:t>
        </m:r>
        <m:r>
          <m:t>n</m:t>
        </m:r>
      </m:oMath>
      <w:r>
        <w:t xml:space="preserve">. For each individual, we observe:</w:t>
      </w:r>
    </w:p>
    <w:p>
      <w:pPr>
        <w:pStyle w:val="Compact"/>
        <w:numPr>
          <w:ilvl w:val="0"/>
          <w:numId w:val="1001"/>
        </w:numPr>
      </w:pPr>
      <m:oMath>
        <m:sSub>
          <m:e>
            <m:r>
              <m:t>y</m:t>
            </m:r>
          </m:e>
          <m:sub>
            <m:r>
              <m:t>i</m:t>
            </m:r>
          </m:sub>
        </m:sSub>
      </m:oMath>
      <w:r>
        <w:t xml:space="preserve">, the health outcome</w:t>
      </w:r>
    </w:p>
    <w:p>
      <w:pPr>
        <w:pStyle w:val="Compact"/>
        <w:numPr>
          <w:ilvl w:val="0"/>
          <w:numId w:val="1001"/>
        </w:numPr>
      </w:pPr>
      <m:oMath>
        <m:sSub>
          <m:e>
            <m:r>
              <m:t>x</m:t>
            </m:r>
          </m:e>
          <m:sub>
            <m:r>
              <m:t>i</m:t>
            </m:r>
          </m:sub>
        </m:sSub>
        <m:r>
          <m:rPr>
            <m:sty m:val="p"/>
          </m:rPr>
          <m:t>=</m:t>
        </m:r>
        <m:r>
          <m:rPr>
            <m:sty m:val="p"/>
          </m:rPr>
          <m:t>(</m:t>
        </m:r>
        <m:sSub>
          <m:e>
            <m:r>
              <m:t>x</m:t>
            </m:r>
          </m:e>
          <m:sub>
            <m:r>
              <m:t>1</m:t>
            </m:r>
            <m:r>
              <m:t>i</m:t>
            </m:r>
          </m:sub>
        </m:sSub>
        <m:r>
          <m:rPr>
            <m:sty m:val="p"/>
          </m:rPr>
          <m:t>,</m:t>
        </m:r>
        <m:sSub>
          <m:e>
            <m:r>
              <m:t>x</m:t>
            </m:r>
          </m:e>
          <m:sub>
            <m:r>
              <m:t>2</m:t>
            </m:r>
            <m:r>
              <m:t>i</m:t>
            </m:r>
          </m:sub>
        </m:sSub>
        <m:r>
          <m:rPr>
            <m:sty m:val="p"/>
          </m:rPr>
          <m:t>,</m:t>
        </m:r>
        <m:r>
          <m:rPr>
            <m:sty m:val="p"/>
          </m:rPr>
          <m:t>…</m:t>
        </m:r>
        <m:r>
          <m:rPr>
            <m:sty m:val="p"/>
          </m:rPr>
          <m:t>,</m:t>
        </m:r>
        <m:sSub>
          <m:e>
            <m:r>
              <m:t>x</m:t>
            </m:r>
          </m:e>
          <m:sub>
            <m:r>
              <m:t>K</m:t>
            </m:r>
            <m:r>
              <m:t>i</m:t>
            </m:r>
          </m:sub>
        </m:sSub>
        <m:r>
          <m:rPr>
            <m:sty m:val="p"/>
          </m:rPr>
          <m:t>)</m:t>
        </m:r>
      </m:oMath>
      <w:r>
        <w:t xml:space="preserve">, a vector of</w:t>
      </w:r>
      <w:r>
        <w:t xml:space="preserve"> </w:t>
      </w:r>
      <m:oMath>
        <m:r>
          <m:t>K</m:t>
        </m:r>
      </m:oMath>
      <w:r>
        <w:t xml:space="preserve"> </w:t>
      </w:r>
      <w:r>
        <w:t xml:space="preserve">determinants</w:t>
      </w:r>
    </w:p>
    <w:p>
      <w:pPr>
        <w:pStyle w:val="Compact"/>
        <w:numPr>
          <w:ilvl w:val="0"/>
          <w:numId w:val="1001"/>
        </w:numPr>
      </w:pPr>
      <m:oMath>
        <m:r>
          <m:t>S</m:t>
        </m:r>
        <m:r>
          <m:t>E</m:t>
        </m:r>
        <m:sSub>
          <m:e>
            <m:r>
              <m:t>S</m:t>
            </m:r>
          </m:e>
          <m:sub>
            <m:r>
              <m:t>i</m:t>
            </m:r>
          </m:sub>
        </m:sSub>
      </m:oMath>
      <w:r>
        <w:t xml:space="preserve">, a measure of socioeconomic status</w:t>
      </w:r>
    </w:p>
    <w:p>
      <w:pPr>
        <w:pStyle w:val="Compact"/>
        <w:numPr>
          <w:ilvl w:val="0"/>
          <w:numId w:val="1001"/>
        </w:numPr>
      </w:pPr>
      <m:oMath>
        <m:sSub>
          <m:e>
            <m:r>
              <m:t>R</m:t>
            </m:r>
          </m:e>
          <m:sub>
            <m:r>
              <m:t>i</m:t>
            </m:r>
          </m:sub>
        </m:sSub>
      </m:oMath>
      <w:r>
        <w:t xml:space="preserve">, the fractional socioeconomic rank, defined from the most disadvantaged to the most advantaged using</w:t>
      </w:r>
      <w:r>
        <w:t xml:space="preserve"> </w:t>
      </w:r>
      <m:oMath>
        <m:r>
          <m:t>S</m:t>
        </m:r>
        <m:r>
          <m:t>E</m:t>
        </m:r>
        <m:sSub>
          <m:e>
            <m:r>
              <m:t>S</m:t>
            </m:r>
          </m:e>
          <m:sub>
            <m:r>
              <m:t>i</m:t>
            </m:r>
          </m:sub>
        </m:sSub>
      </m:oMath>
    </w:p>
    <w:p>
      <w:pPr>
        <w:pStyle w:val="FirstParagraph"/>
      </w:pPr>
      <w:r>
        <w:t xml:space="preserve">Let</w:t>
      </w:r>
      <w:r>
        <w:t xml:space="preserve"> </w:t>
      </w:r>
      <m:oMath>
        <m:acc>
          <m:accPr>
            <m:chr m:val="̂"/>
          </m:accPr>
          <m:e>
            <m:r>
              <m:t>f</m:t>
            </m:r>
          </m:e>
        </m:acc>
        <m:r>
          <m:rPr>
            <m:sty m:val="p"/>
          </m:rPr>
          <m:t>(</m:t>
        </m:r>
        <m:r>
          <m:t>x</m:t>
        </m:r>
        <m:r>
          <m:rPr>
            <m:sty m:val="p"/>
          </m:rPr>
          <m:t>)</m:t>
        </m:r>
      </m:oMath>
      <w:r>
        <w:t xml:space="preserve"> </w:t>
      </w:r>
      <w:r>
        <w:t xml:space="preserve">denote a fitted tree-based model, such as a random forest. The fitted outcome for individual</w:t>
      </w:r>
      <w:r>
        <w:t xml:space="preserve"> </w:t>
      </w:r>
      <m:oMath>
        <m:r>
          <m:t>i</m:t>
        </m:r>
      </m:oMath>
      <w:r>
        <w:t xml:space="preserve"> </w:t>
      </w:r>
      <w:r>
        <w:t xml:space="preserve">is</w:t>
      </w:r>
    </w:p>
    <w:p>
      <w:pPr>
        <w:pStyle w:val="BodyText"/>
      </w:pPr>
      <m:oMathPara>
        <m:oMathParaPr>
          <m:jc m:val="center"/>
        </m:oMathParaPr>
        <m:oMath>
          <m:sSub>
            <m:e>
              <m:acc>
                <m:accPr>
                  <m:chr m:val="̂"/>
                </m:accPr>
                <m:e>
                  <m:r>
                    <m:t>y</m:t>
                  </m:r>
                </m:e>
              </m:acc>
            </m:e>
            <m:sub>
              <m:r>
                <m:t>i</m:t>
              </m:r>
            </m:sub>
          </m:sSub>
          <m:r>
            <m:rPr>
              <m:sty m:val="p"/>
            </m:rPr>
            <m:t>=</m:t>
          </m:r>
          <m:acc>
            <m:accPr>
              <m:chr m:val="̂"/>
            </m:accPr>
            <m:e>
              <m:r>
                <m:t>f</m:t>
              </m:r>
            </m:e>
          </m:acc>
          <m:r>
            <m:rPr>
              <m:sty m:val="p"/>
            </m:rPr>
            <m:t>(</m:t>
          </m:r>
          <m:sSub>
            <m:e>
              <m:r>
                <m:t>x</m:t>
              </m:r>
            </m:e>
            <m:sub>
              <m:r>
                <m:t>i</m:t>
              </m:r>
            </m:sub>
          </m:sSub>
          <m:r>
            <m:rPr>
              <m:sty m:val="p"/>
            </m:rPr>
            <m:t>)</m:t>
          </m:r>
          <m:r>
            <m:rPr>
              <m:sty m:val="p"/>
            </m:rPr>
            <m:t>.</m:t>
          </m:r>
        </m:oMath>
      </m:oMathPara>
    </w:p>
    <w:p>
      <w:pPr>
        <w:pStyle w:val="FirstParagraph"/>
      </w:pPr>
      <w:r>
        <w:t xml:space="preserve">The aim is to decompose the concentration index of the fitted outcomes. Let</w:t>
      </w:r>
      <w:r>
        <w:t xml:space="preserve"> </w:t>
      </w:r>
      <m:oMath>
        <m:sSub>
          <m:e>
            <m:r>
              <m:t>μ</m:t>
            </m:r>
          </m:e>
          <m:sub>
            <m:acc>
              <m:accPr>
                <m:chr m:val="̂"/>
              </m:accPr>
              <m:e>
                <m:r>
                  <m:t>y</m:t>
                </m:r>
              </m:e>
            </m:acc>
          </m:sub>
        </m:sSub>
      </m:oMath>
      <w:r>
        <w:t xml:space="preserve"> </w:t>
      </w:r>
      <w:r>
        <w:t xml:space="preserve">be the sample mean of</w:t>
      </w:r>
      <w:r>
        <w:t xml:space="preserve"> </w:t>
      </w:r>
      <m:oMath>
        <m:sSub>
          <m:e>
            <m:acc>
              <m:accPr>
                <m:chr m:val="̂"/>
              </m:accPr>
              <m:e>
                <m:r>
                  <m:t>y</m:t>
                </m:r>
              </m:e>
            </m:acc>
          </m:e>
          <m:sub>
            <m:r>
              <m:t>i</m:t>
            </m:r>
          </m:sub>
        </m:sSub>
      </m:oMath>
      <w:r>
        <w:t xml:space="preserve">. Then the concentration index of the fitted values is</w:t>
      </w:r>
    </w:p>
    <w:p>
      <w:pPr>
        <w:pStyle w:val="BodyText"/>
      </w:pPr>
      <m:oMathPara>
        <m:oMathParaPr>
          <m:jc m:val="center"/>
        </m:oMathParaPr>
        <m:oMath>
          <m:sSub>
            <m:e>
              <m:r>
                <m:t>C</m:t>
              </m:r>
            </m:e>
            <m:sub>
              <m:acc>
                <m:accPr>
                  <m:chr m:val="̂"/>
                </m:accPr>
                <m:e>
                  <m:r>
                    <m:t>y</m:t>
                  </m:r>
                </m:e>
              </m:acc>
            </m:sub>
          </m:sSub>
          <m:r>
            <m:rPr>
              <m:sty m:val="p"/>
            </m:rPr>
            <m:t>=</m:t>
          </m:r>
          <m:f>
            <m:fPr>
              <m:type m:val="bar"/>
            </m:fPr>
            <m:num>
              <m:r>
                <m:t>2</m:t>
              </m:r>
            </m:num>
            <m:den>
              <m:r>
                <m:t>n</m:t>
              </m:r>
              <m:sSub>
                <m:e>
                  <m:r>
                    <m:t>μ</m:t>
                  </m:r>
                </m:e>
                <m:sub>
                  <m:acc>
                    <m:accPr>
                      <m:chr m:val="̂"/>
                    </m:accPr>
                    <m:e>
                      <m:r>
                        <m:t>y</m:t>
                      </m:r>
                    </m:e>
                  </m:acc>
                </m:sub>
              </m:sSub>
            </m:den>
          </m:f>
          <m:nary>
            <m:naryPr>
              <m:chr m:val="∑"/>
              <m:limLoc m:val="undOvr"/>
              <m:subHide m:val="off"/>
              <m:supHide m:val="off"/>
            </m:naryPr>
            <m:sub>
              <m:r>
                <m:t>i</m:t>
              </m:r>
              <m:r>
                <m:rPr>
                  <m:sty m:val="p"/>
                </m:rPr>
                <m:t>=</m:t>
              </m:r>
              <m:r>
                <m:t>1</m:t>
              </m:r>
            </m:sub>
            <m:sup>
              <m:r>
                <m:t>n</m:t>
              </m:r>
            </m:sup>
            <m:e>
              <m:sSub>
                <m:e>
                  <m:acc>
                    <m:accPr>
                      <m:chr m:val="̂"/>
                    </m:accPr>
                    <m:e>
                      <m:r>
                        <m:t>y</m:t>
                      </m:r>
                    </m:e>
                  </m:acc>
                </m:e>
                <m:sub>
                  <m:r>
                    <m:t>i</m:t>
                  </m:r>
                </m:sub>
              </m:sSub>
            </m:e>
          </m:nary>
          <m:sSub>
            <m:e>
              <m:r>
                <m:t>R</m:t>
              </m:r>
            </m:e>
            <m:sub>
              <m:r>
                <m:t>i</m:t>
              </m:r>
            </m:sub>
          </m:sSub>
          <m:r>
            <m:rPr>
              <m:sty m:val="p"/>
            </m:rPr>
            <m:t>−</m:t>
          </m:r>
          <m:r>
            <m:t>1</m:t>
          </m:r>
          <m:r>
            <m:rPr>
              <m:sty m:val="p"/>
            </m:rPr>
            <m:t>.</m:t>
          </m:r>
        </m:oMath>
      </m:oMathPara>
    </w:p>
    <w:p>
      <w:pPr>
        <w:pStyle w:val="FirstParagraph"/>
      </w:pPr>
      <w:r>
        <w:t xml:space="preserve">where</w:t>
      </w:r>
      <w:r>
        <w:t xml:space="preserve"> </w:t>
      </w:r>
      <m:oMath>
        <m:sSub>
          <m:e>
            <m:r>
              <m:t>C</m:t>
            </m:r>
          </m:e>
          <m:sub>
            <m:acc>
              <m:accPr>
                <m:chr m:val="̂"/>
              </m:accPr>
              <m:e>
                <m:r>
                  <m:t>y</m:t>
                </m:r>
              </m:e>
            </m:acc>
          </m:sub>
        </m:sSub>
      </m:oMath>
      <w:r>
        <w:t xml:space="preserve"> </w:t>
      </w:r>
      <w:r>
        <w:t xml:space="preserve">is the concentration index of the fitted outcomes,</w:t>
      </w:r>
      <w:r>
        <w:t xml:space="preserve"> </w:t>
      </w:r>
      <m:oMath>
        <m:r>
          <m:t>n</m:t>
        </m:r>
      </m:oMath>
      <w:r>
        <w:t xml:space="preserve"> </w:t>
      </w:r>
      <w:r>
        <w:t xml:space="preserve">is the sample size, and</w:t>
      </w:r>
      <w:r>
        <w:t xml:space="preserve"> </w:t>
      </w:r>
      <m:oMath>
        <m:sSub>
          <m:e>
            <m:r>
              <m:t>R</m:t>
            </m:r>
          </m:e>
          <m:sub>
            <m:r>
              <m:t>i</m:t>
            </m:r>
          </m:sub>
        </m:sSub>
      </m:oMath>
      <w:r>
        <w:t xml:space="preserve"> </w:t>
      </w:r>
      <w:r>
        <w:t xml:space="preserve">is the fractional socioeconomic rank of individual</w:t>
      </w:r>
      <w:r>
        <w:t xml:space="preserve"> </w:t>
      </w:r>
      <m:oMath>
        <m:r>
          <m:t>i</m:t>
        </m:r>
      </m:oMath>
      <w:r>
        <w:t xml:space="preserve">. To obtain a decomposition, we need to express</w:t>
      </w:r>
      <w:r>
        <w:t xml:space="preserve"> </w:t>
      </w:r>
      <m:oMath>
        <m:sSub>
          <m:e>
            <m:acc>
              <m:accPr>
                <m:chr m:val="̂"/>
              </m:accPr>
              <m:e>
                <m:r>
                  <m:t>y</m:t>
                </m:r>
              </m:e>
            </m:acc>
          </m:e>
          <m:sub>
            <m:r>
              <m:t>i</m:t>
            </m:r>
          </m:sub>
        </m:sSub>
      </m:oMath>
      <w:r>
        <w:t xml:space="preserve"> </w:t>
      </w:r>
      <w:r>
        <w:t xml:space="preserve">as a sum of feature-specific components.</w:t>
      </w:r>
    </w:p>
    <w:bookmarkEnd w:id="37"/>
    <w:bookmarkStart w:id="38" w:name="sec-tree-predictions"/>
    <w:p>
      <w:pPr>
        <w:pStyle w:val="Heading3"/>
      </w:pPr>
      <w:r>
        <w:t xml:space="preserve">Tree-Based Predictions</w:t>
      </w:r>
    </w:p>
    <w:p>
      <w:pPr>
        <w:pStyle w:val="FirstParagraph"/>
      </w:pPr>
      <w:r>
        <w:t xml:space="preserve">In the regression based decomposition, the fitted value from the regression model can be separated into terms linked to the individual determinants. This makes the decomposition step relatively direct. The tree models do not have that form. A child’s fitted mortality risk is determined by the path it follows through the tree and by the terminal node it reaches. In the random forest, the fitted value is an average over many such paths.</w:t>
      </w:r>
    </w:p>
    <w:bookmarkEnd w:id="38"/>
    <w:bookmarkStart w:id="39" w:name="sec-shap-additive-link"/>
    <w:p>
      <w:pPr>
        <w:pStyle w:val="Heading3"/>
      </w:pPr>
      <w:r>
        <w:t xml:space="preserve">SHAP as the Additive Link</w:t>
      </w:r>
    </w:p>
    <w:p>
      <w:pPr>
        <w:pStyle w:val="FirstParagraph"/>
      </w:pPr>
      <w:r>
        <w:t xml:space="preserve">The tree and forest give fitted mortality rates, but those values are not estimated using determinant-level coefficients. We use SHAP values for this step. SHAP rewrites a model prediction as a baseline value plus feature contributions</w:t>
      </w:r>
      <w:r>
        <w:t xml:space="preserve"> </w:t>
      </w:r>
      <w:r>
        <w:t xml:space="preserve">(</w:t>
      </w:r>
      <w:hyperlink w:anchor="ref-lundberg2017unified">
        <w:r>
          <w:rPr>
            <w:rStyle w:val="Hyperlink"/>
          </w:rPr>
          <w:t xml:space="preserve">Lundberg and Lee, 2017</w:t>
        </w:r>
      </w:hyperlink>
      <w:r>
        <w:t xml:space="preserve">;</w:t>
      </w:r>
      <w:r>
        <w:t xml:space="preserve"> </w:t>
      </w:r>
      <w:hyperlink w:anchor="ref-lundberg2018tree">
        <w:r>
          <w:rPr>
            <w:rStyle w:val="Hyperlink"/>
          </w:rPr>
          <w:t xml:space="preserve">Lundberg, Erion and Lee, 2018</w:t>
        </w:r>
      </w:hyperlink>
      <w:r>
        <w:t xml:space="preserve">)</w:t>
      </w:r>
      <w:r>
        <w:t xml:space="preserve">. For tree ensembles, TreeSHAP provides an efficient way to compute these contributions.</w:t>
      </w:r>
    </w:p>
    <w:p>
      <w:pPr>
        <w:pStyle w:val="BodyText"/>
      </w:pPr>
      <w:r>
        <w:t xml:space="preserve">For child</w:t>
      </w:r>
      <w:r>
        <w:t xml:space="preserve"> </w:t>
      </w:r>
      <m:oMath>
        <m:r>
          <m:t>i</m:t>
        </m:r>
      </m:oMath>
      <w:r>
        <w:t xml:space="preserve">, we write the fitted value as:</w:t>
      </w:r>
    </w:p>
    <w:p>
      <w:pPr>
        <w:pStyle w:val="BodyText"/>
      </w:pPr>
      <m:oMathPara>
        <m:oMathParaPr>
          <m:jc m:val="center"/>
        </m:oMathParaPr>
        <m:oMath>
          <m:sSub>
            <m:e>
              <m:acc>
                <m:accPr>
                  <m:chr m:val="̂"/>
                </m:accPr>
                <m:e>
                  <m:r>
                    <m:t>y</m:t>
                  </m:r>
                </m:e>
              </m:acc>
            </m:e>
            <m:sub>
              <m:r>
                <m:t>i</m:t>
              </m:r>
            </m:sub>
          </m:sSub>
          <m:r>
            <m:rPr>
              <m:sty m:val="p"/>
            </m:rPr>
            <m:t>=</m:t>
          </m:r>
          <m:sSub>
            <m:e>
              <m:r>
                <m:t>ϕ</m:t>
              </m:r>
            </m:e>
            <m:sub>
              <m:r>
                <m:t>0</m:t>
              </m:r>
            </m:sub>
          </m:sSub>
          <m:r>
            <m:rPr>
              <m:sty m:val="p"/>
            </m:rPr>
            <m:t>+</m:t>
          </m:r>
          <m:nary>
            <m:naryPr>
              <m:chr m:val="∑"/>
              <m:limLoc m:val="undOvr"/>
              <m:subHide m:val="off"/>
              <m:supHide m:val="off"/>
            </m:naryPr>
            <m:sub>
              <m:r>
                <m:t>k</m:t>
              </m:r>
              <m:r>
                <m:rPr>
                  <m:sty m:val="p"/>
                </m:rPr>
                <m:t>=</m:t>
              </m:r>
              <m:r>
                <m:t>1</m:t>
              </m:r>
            </m:sub>
            <m:sup>
              <m:r>
                <m:t>K</m:t>
              </m:r>
            </m:sup>
            <m:e>
              <m:sSub>
                <m:e>
                  <m:r>
                    <m:t>ϕ</m:t>
                  </m:r>
                </m:e>
                <m:sub>
                  <m:r>
                    <m:t>i</m:t>
                  </m:r>
                  <m:r>
                    <m:t>k</m:t>
                  </m:r>
                </m:sub>
              </m:sSub>
            </m:e>
          </m:nary>
          <m:r>
            <m:rPr>
              <m:sty m:val="p"/>
            </m:rPr>
            <m:t>,</m:t>
          </m:r>
        </m:oMath>
      </m:oMathPara>
    </w:p>
    <w:p>
      <w:pPr>
        <w:pStyle w:val="FirstParagraph"/>
      </w:pPr>
      <w:r>
        <w:t xml:space="preserve">where</w:t>
      </w:r>
      <w:r>
        <w:t xml:space="preserve"> </w:t>
      </w:r>
      <m:oMath>
        <m:sSub>
          <m:e>
            <m:r>
              <m:t>ϕ</m:t>
            </m:r>
          </m:e>
          <m:sub>
            <m:r>
              <m:t>0</m:t>
            </m:r>
          </m:sub>
        </m:sSub>
      </m:oMath>
      <w:r>
        <w:t xml:space="preserve"> </w:t>
      </w:r>
      <w:r>
        <w:t xml:space="preserve">is the baseline fitted value and</w:t>
      </w:r>
      <w:r>
        <w:t xml:space="preserve"> </w:t>
      </w:r>
      <m:oMath>
        <m:sSub>
          <m:e>
            <m:r>
              <m:t>ϕ</m:t>
            </m:r>
          </m:e>
          <m:sub>
            <m:r>
              <m:t>i</m:t>
            </m:r>
            <m:r>
              <m:t>k</m:t>
            </m:r>
          </m:sub>
        </m:sSub>
      </m:oMath>
      <w:r>
        <w:t xml:space="preserve"> </w:t>
      </w:r>
      <w:r>
        <w:t xml:space="preserve">is the SHAP contribution of determinant</w:t>
      </w:r>
      <w:r>
        <w:t xml:space="preserve"> </w:t>
      </w:r>
      <m:oMath>
        <m:r>
          <m:t>k</m:t>
        </m:r>
      </m:oMath>
      <w:r>
        <w:t xml:space="preserve"> </w:t>
      </w:r>
      <w:r>
        <w:t xml:space="preserve">for child</w:t>
      </w:r>
      <w:r>
        <w:t xml:space="preserve"> </w:t>
      </w:r>
      <m:oMath>
        <m:r>
          <m:t>i</m:t>
        </m:r>
      </m:oMath>
      <w:r>
        <w:t xml:space="preserve">. In this thesis,</w:t>
      </w:r>
      <w:r>
        <w:t xml:space="preserve"> </w:t>
      </w:r>
      <m:oMath>
        <m:sSub>
          <m:e>
            <m:r>
              <m:t>ϕ</m:t>
            </m:r>
          </m:e>
          <m:sub>
            <m:r>
              <m:t>0</m:t>
            </m:r>
          </m:sub>
        </m:sSub>
      </m:oMath>
      <w:r>
        <w:t xml:space="preserve"> </w:t>
      </w:r>
      <w:r>
        <w:t xml:space="preserve">is set to the sample mean of the fitted values,</w:t>
      </w:r>
      <w:r>
        <w:t xml:space="preserve"> </w:t>
      </w:r>
      <m:oMath>
        <m:sSub>
          <m:e>
            <m:r>
              <m:t>μ</m:t>
            </m:r>
          </m:e>
          <m:sub>
            <m:acc>
              <m:accPr>
                <m:chr m:val="̂"/>
              </m:accPr>
              <m:e>
                <m:r>
                  <m:t>y</m:t>
                </m:r>
              </m:e>
            </m:acc>
          </m:sub>
        </m:sSub>
      </m:oMath>
      <w:r>
        <w:t xml:space="preserve">. This gives the additive form needed for the next step: the tree-based fitted value can be inserted into the concentration-index decomposition through determinant-level SHAP contributions.</w:t>
      </w:r>
    </w:p>
    <w:bookmarkEnd w:id="39"/>
    <w:bookmarkStart w:id="40" w:name="sec-shap-decomposition-definition"/>
    <w:p>
      <w:pPr>
        <w:pStyle w:val="Heading3"/>
      </w:pPr>
      <w:r>
        <w:t xml:space="preserve">A SHAP-Based Definition of Decomposition</w:t>
      </w:r>
    </w:p>
    <w:p>
      <w:pPr>
        <w:pStyle w:val="FirstParagraph"/>
      </w:pPr>
      <w:r>
        <w:t xml:space="preserve">Since we have now expressed the predictions using SHAP, we can substitute this representation into the concentration index formula for the predicted outcome. We start with the fractional rank</w:t>
      </w:r>
      <w:r>
        <w:t xml:space="preserve"> </w:t>
      </w:r>
      <m:oMath>
        <m:sSub>
          <m:e>
            <m:r>
              <m:t>R</m:t>
            </m:r>
          </m:e>
          <m:sub>
            <m:r>
              <m:t>i</m:t>
            </m:r>
          </m:sub>
        </m:sSub>
      </m:oMath>
      <w:r>
        <w:t xml:space="preserve"> </w:t>
      </w:r>
      <w:r>
        <w:t xml:space="preserve">and the mean prediction</w:t>
      </w:r>
      <w:r>
        <w:t xml:space="preserve"> </w:t>
      </w:r>
      <m:oMath>
        <m:sSub>
          <m:e>
            <m:r>
              <m:t>μ</m:t>
            </m:r>
          </m:e>
          <m:sub>
            <m:acc>
              <m:accPr>
                <m:chr m:val="̂"/>
              </m:accPr>
              <m:e>
                <m:r>
                  <m:t>y</m:t>
                </m:r>
              </m:e>
            </m:acc>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acc>
                  <m:accPr>
                    <m:chr m:val="̂"/>
                  </m:accPr>
                  <m:e>
                    <m:r>
                      <m:t>y</m:t>
                    </m:r>
                  </m:e>
                </m:acc>
              </m:e>
              <m:sub>
                <m:r>
                  <m:t>i</m:t>
                </m:r>
              </m:sub>
            </m:sSub>
          </m:e>
        </m:nary>
      </m:oMath>
      <w:r>
        <w:t xml:space="preserve">, the sample concentration index of the predictions is given by:</w:t>
      </w:r>
    </w:p>
    <w:p>
      <w:pPr>
        <w:pStyle w:val="BodyText"/>
      </w:pPr>
      <m:oMathPara>
        <m:oMathParaPr>
          <m:jc m:val="center"/>
        </m:oMathParaPr>
        <m:oMath>
          <m:sSub>
            <m:e>
              <m:r>
                <m:t>C</m:t>
              </m:r>
            </m:e>
            <m:sub>
              <m:acc>
                <m:accPr>
                  <m:chr m:val="̂"/>
                </m:accPr>
                <m:e>
                  <m:r>
                    <m:t>y</m:t>
                  </m:r>
                </m:e>
              </m:acc>
            </m:sub>
          </m:sSub>
          <m:r>
            <m:rPr>
              <m:sty m:val="p"/>
            </m:rPr>
            <m:t>=</m:t>
          </m:r>
          <m:f>
            <m:fPr>
              <m:type m:val="bar"/>
            </m:fPr>
            <m:num>
              <m:r>
                <m:t>2</m:t>
              </m:r>
            </m:num>
            <m:den>
              <m:r>
                <m:t>n</m:t>
              </m:r>
              <m:sSub>
                <m:e>
                  <m:r>
                    <m:t>μ</m:t>
                  </m:r>
                </m:e>
                <m:sub>
                  <m:acc>
                    <m:accPr>
                      <m:chr m:val="̂"/>
                    </m:accPr>
                    <m:e>
                      <m:r>
                        <m:t>y</m:t>
                      </m:r>
                    </m:e>
                  </m:acc>
                </m:sub>
              </m:sSub>
            </m:den>
          </m:f>
          <m:nary>
            <m:naryPr>
              <m:chr m:val="∑"/>
              <m:limLoc m:val="undOvr"/>
              <m:subHide m:val="off"/>
              <m:supHide m:val="off"/>
            </m:naryPr>
            <m:sub>
              <m:r>
                <m:t>i</m:t>
              </m:r>
              <m:r>
                <m:rPr>
                  <m:sty m:val="p"/>
                </m:rPr>
                <m:t>=</m:t>
              </m:r>
              <m:r>
                <m:t>1</m:t>
              </m:r>
            </m:sub>
            <m:sup>
              <m:r>
                <m:t>n</m:t>
              </m:r>
            </m:sup>
            <m:e>
              <m:sSub>
                <m:e>
                  <m:acc>
                    <m:accPr>
                      <m:chr m:val="̂"/>
                    </m:accPr>
                    <m:e>
                      <m:r>
                        <m:t>y</m:t>
                      </m:r>
                    </m:e>
                  </m:acc>
                </m:e>
                <m:sub>
                  <m:r>
                    <m:t>i</m:t>
                  </m:r>
                </m:sub>
              </m:sSub>
            </m:e>
          </m:nary>
          <m:sSub>
            <m:e>
              <m:r>
                <m:t>R</m:t>
              </m:r>
            </m:e>
            <m:sub>
              <m:r>
                <m:t>i</m:t>
              </m:r>
            </m:sub>
          </m:sSub>
          <m:r>
            <m:rPr>
              <m:sty m:val="p"/>
            </m:rPr>
            <m:t>−</m:t>
          </m:r>
          <m:r>
            <m:t>1</m:t>
          </m:r>
          <m:r>
            <m:rPr>
              <m:sty m:val="p"/>
            </m:rPr>
            <m:t>.</m:t>
          </m:r>
        </m:oMath>
      </m:oMathPara>
    </w:p>
    <w:p>
      <w:pPr>
        <w:pStyle w:val="FirstParagraph"/>
      </w:pPr>
      <w:r>
        <w:t xml:space="preserve">Recognising the property of the standard fractional rank that</w:t>
      </w:r>
    </w:p>
    <w:p>
      <w:pPr>
        <w:pStyle w:val="BodyText"/>
      </w:pPr>
      <m:oMathPara>
        <m:oMathParaPr>
          <m:jc m:val="center"/>
        </m:oMathParaPr>
        <m:oMath>
          <m:nary>
            <m:naryPr>
              <m:chr m:val="∑"/>
              <m:limLoc m:val="undOvr"/>
              <m:subHide m:val="off"/>
              <m:supHide m:val="off"/>
            </m:naryPr>
            <m:sub>
              <m:r>
                <m:t>i</m:t>
              </m:r>
              <m:r>
                <m:rPr>
                  <m:sty m:val="p"/>
                </m:rPr>
                <m:t>=</m:t>
              </m:r>
              <m:r>
                <m:t>1</m:t>
              </m:r>
            </m:sub>
            <m:sup>
              <m:r>
                <m:t>n</m:t>
              </m:r>
            </m:sup>
            <m:e>
              <m:d>
                <m:dPr>
                  <m:begChr m:val="("/>
                  <m:sepChr m:val=""/>
                  <m:endChr m:val=")"/>
                  <m:grow/>
                </m:dPr>
                <m:e>
                  <m:sSub>
                    <m:e>
                      <m:r>
                        <m:t>R</m:t>
                      </m:r>
                    </m:e>
                    <m:sub>
                      <m:r>
                        <m:t>i</m:t>
                      </m:r>
                    </m:sub>
                  </m:sSub>
                  <m:r>
                    <m:rPr>
                      <m:sty m:val="p"/>
                    </m:rPr>
                    <m:t>−</m:t>
                  </m:r>
                  <m:f>
                    <m:fPr>
                      <m:type m:val="bar"/>
                    </m:fPr>
                    <m:num>
                      <m:r>
                        <m:t>1</m:t>
                      </m:r>
                    </m:num>
                    <m:den>
                      <m:r>
                        <m:t>2</m:t>
                      </m:r>
                    </m:den>
                  </m:f>
                </m:e>
              </m:d>
            </m:e>
          </m:nary>
          <m:r>
            <m:rPr>
              <m:sty m:val="p"/>
            </m:rPr>
            <m:t>=</m:t>
          </m:r>
          <m:r>
            <m:t>0</m:t>
          </m:r>
          <m:r>
            <m:rPr>
              <m:sty m:val="p"/>
            </m:rPr>
            <m:t>,</m:t>
          </m:r>
        </m:oMath>
      </m:oMathPara>
    </w:p>
    <w:p>
      <w:pPr>
        <w:pStyle w:val="FirstParagraph"/>
      </w:pPr>
      <w:r>
        <w:t xml:space="preserve">We can rewrite the concentration index formula using the centred rank</w:t>
      </w:r>
      <w:r>
        <w:t xml:space="preserve"> </w:t>
      </w:r>
      <m:oMath>
        <m:r>
          <m:rPr>
            <m:sty m:val="p"/>
          </m:rPr>
          <m:t>(</m:t>
        </m:r>
        <m:sSub>
          <m:e>
            <m:r>
              <m:t>R</m:t>
            </m:r>
          </m:e>
          <m:sub>
            <m:r>
              <m:t>i</m:t>
            </m:r>
          </m:sub>
        </m:sSub>
        <m:r>
          <m:rPr>
            <m:sty m:val="p"/>
          </m:rPr>
          <m:t>−</m:t>
        </m:r>
        <m:f>
          <m:fPr>
            <m:type m:val="bar"/>
          </m:fPr>
          <m:num>
            <m:r>
              <m:t>1</m:t>
            </m:r>
          </m:num>
          <m:den>
            <m:r>
              <m:t>2</m:t>
            </m:r>
          </m:den>
        </m:f>
        <m:r>
          <m:rPr>
            <m:sty m:val="p"/>
          </m:rPr>
          <m:t>)</m:t>
        </m:r>
      </m:oMath>
      <w:r>
        <w:t xml:space="preserve">. This allows us to drop the</w:t>
      </w:r>
      <w:r>
        <w:t xml:space="preserve"> </w:t>
      </w:r>
      <m:oMath>
        <m:r>
          <m:rPr>
            <m:sty m:val="p"/>
          </m:rPr>
          <m:t>−</m:t>
        </m:r>
        <m:r>
          <m:t>1</m:t>
        </m:r>
      </m:oMath>
      <w:r>
        <w:t xml:space="preserve"> </w:t>
      </w:r>
      <w:r>
        <w:t xml:space="preserve">term. A full proof is given in</w:t>
      </w:r>
      <w:r>
        <w:t xml:space="preserve"> </w:t>
      </w:r>
      <w:hyperlink w:anchor="app-centered-rank-proof">
        <w:r>
          <w:rPr>
            <w:rStyle w:val="Hyperlink"/>
          </w:rPr>
          <w:t xml:space="preserve">Appendix A</w:t>
        </w:r>
      </w:hyperlink>
      <w:r>
        <w:t xml:space="preserve">.</w:t>
      </w:r>
    </w:p>
    <w:p>
      <w:pPr>
        <w:pStyle w:val="BodyText"/>
      </w:pPr>
      <m:oMathPara>
        <m:oMathParaPr>
          <m:jc m:val="center"/>
        </m:oMathParaPr>
        <m:oMath>
          <m:sSub>
            <m:e>
              <m:r>
                <m:t>C</m:t>
              </m:r>
            </m:e>
            <m:sub>
              <m:acc>
                <m:accPr>
                  <m:chr m:val="̂"/>
                </m:accPr>
                <m:e>
                  <m:r>
                    <m:t>y</m:t>
                  </m:r>
                </m:e>
              </m:acc>
            </m:sub>
          </m:sSub>
          <m:r>
            <m:rPr>
              <m:sty m:val="p"/>
            </m:rPr>
            <m:t>=</m:t>
          </m:r>
          <m:f>
            <m:fPr>
              <m:type m:val="bar"/>
            </m:fPr>
            <m:num>
              <m:r>
                <m:t>2</m:t>
              </m:r>
            </m:num>
            <m:den>
              <m:r>
                <m:t>n</m:t>
              </m:r>
              <m:sSub>
                <m:e>
                  <m:r>
                    <m:t>μ</m:t>
                  </m:r>
                </m:e>
                <m:sub>
                  <m:acc>
                    <m:accPr>
                      <m:chr m:val="̂"/>
                    </m:accPr>
                    <m:e>
                      <m:r>
                        <m:t>y</m:t>
                      </m:r>
                    </m:e>
                  </m:acc>
                </m:sub>
              </m:sSub>
            </m:den>
          </m:f>
          <m:nary>
            <m:naryPr>
              <m:chr m:val="∑"/>
              <m:limLoc m:val="undOvr"/>
              <m:subHide m:val="off"/>
              <m:supHide m:val="off"/>
            </m:naryPr>
            <m:sub>
              <m:r>
                <m:t>i</m:t>
              </m:r>
              <m:r>
                <m:rPr>
                  <m:sty m:val="p"/>
                </m:rPr>
                <m:t>=</m:t>
              </m:r>
              <m:r>
                <m:t>1</m:t>
              </m:r>
            </m:sub>
            <m:sup>
              <m:r>
                <m:t>n</m:t>
              </m:r>
            </m:sup>
            <m:e>
              <m:sSub>
                <m:e>
                  <m:acc>
                    <m:accPr>
                      <m:chr m:val="̂"/>
                    </m:accPr>
                    <m:e>
                      <m:r>
                        <m:t>y</m:t>
                      </m:r>
                    </m:e>
                  </m:acc>
                </m:e>
                <m:sub>
                  <m:r>
                    <m:t>i</m:t>
                  </m:r>
                </m:sub>
              </m:sSub>
            </m:e>
          </m:nary>
          <m:d>
            <m:dPr>
              <m:begChr m:val="("/>
              <m:sepChr m:val=""/>
              <m:endChr m:val=")"/>
              <m:grow/>
            </m:dPr>
            <m:e>
              <m:sSub>
                <m:e>
                  <m:r>
                    <m:t>R</m:t>
                  </m:r>
                </m:e>
                <m:sub>
                  <m:r>
                    <m:t>i</m:t>
                  </m:r>
                </m:sub>
              </m:sSub>
              <m:r>
                <m:rPr>
                  <m:sty m:val="p"/>
                </m:rPr>
                <m:t>−</m:t>
              </m:r>
              <m:f>
                <m:fPr>
                  <m:type m:val="bar"/>
                </m:fPr>
                <m:num>
                  <m:r>
                    <m:t>1</m:t>
                  </m:r>
                </m:num>
                <m:den>
                  <m:r>
                    <m:t>2</m:t>
                  </m:r>
                </m:den>
              </m:f>
            </m:e>
          </m:d>
          <m:r>
            <m:rPr>
              <m:sty m:val="p"/>
            </m:rPr>
            <m:t>.</m:t>
          </m:r>
        </m:oMath>
      </m:oMathPara>
    </w:p>
    <w:p>
      <w:pPr>
        <w:pStyle w:val="FirstParagraph"/>
      </w:pPr>
      <w:r>
        <w:t xml:space="preserve">We now substitute the model-level SHAP identity</w:t>
      </w:r>
      <w:r>
        <w:t xml:space="preserve"> </w:t>
      </w:r>
      <m:oMath>
        <m:sSub>
          <m:e>
            <m:acc>
              <m:accPr>
                <m:chr m:val="̂"/>
              </m:accPr>
              <m:e>
                <m:r>
                  <m:t>y</m:t>
                </m:r>
              </m:e>
            </m:acc>
          </m:e>
          <m:sub>
            <m:r>
              <m:t>i</m:t>
            </m:r>
          </m:sub>
        </m:sSub>
        <m:r>
          <m:rPr>
            <m:sty m:val="p"/>
          </m:rPr>
          <m:t>=</m:t>
        </m:r>
        <m:sSub>
          <m:e>
            <m:r>
              <m:t>ϕ</m:t>
            </m:r>
          </m:e>
          <m:sub>
            <m:r>
              <m:t>0</m:t>
            </m:r>
          </m:sub>
        </m:sSub>
        <m:r>
          <m:rPr>
            <m:sty m:val="p"/>
          </m:rPr>
          <m:t>+</m:t>
        </m:r>
        <m:nary>
          <m:naryPr>
            <m:chr m:val="∑"/>
            <m:limLoc m:val="undOvr"/>
            <m:subHide m:val="off"/>
            <m:supHide m:val="off"/>
          </m:naryPr>
          <m:sub>
            <m:r>
              <m:t>k</m:t>
            </m:r>
            <m:r>
              <m:rPr>
                <m:sty m:val="p"/>
              </m:rPr>
              <m:t>=</m:t>
            </m:r>
            <m:r>
              <m:t>1</m:t>
            </m:r>
          </m:sub>
          <m:sup>
            <m:r>
              <m:t>K</m:t>
            </m:r>
          </m:sup>
          <m:e>
            <m:sSub>
              <m:e>
                <m:r>
                  <m:t>ϕ</m:t>
                </m:r>
              </m:e>
              <m:sub>
                <m:r>
                  <m:t>i</m:t>
                </m:r>
                <m:r>
                  <m:t>k</m:t>
                </m:r>
              </m:sub>
            </m:sSub>
          </m:e>
        </m:nary>
      </m:oMath>
      <w:r>
        <w:t xml:space="preserve"> </w:t>
      </w:r>
      <w:r>
        <w:t xml:space="preserve">into this centered formula:</w:t>
      </w:r>
    </w:p>
    <w:p>
      <w:pPr>
        <w:pStyle w:val="BodyText"/>
      </w:pPr>
      <m:oMathPara>
        <m:oMathParaPr>
          <m:jc m:val="center"/>
        </m:oMathParaPr>
        <m:oMath>
          <m:sSub>
            <m:e>
              <m:r>
                <m:t>C</m:t>
              </m:r>
            </m:e>
            <m:sub>
              <m:acc>
                <m:accPr>
                  <m:chr m:val="̂"/>
                </m:accPr>
                <m:e>
                  <m:r>
                    <m:t>y</m:t>
                  </m:r>
                </m:e>
              </m:acc>
            </m:sub>
          </m:sSub>
          <m:r>
            <m:rPr>
              <m:sty m:val="p"/>
            </m:rPr>
            <m:t>=</m:t>
          </m:r>
          <m:f>
            <m:fPr>
              <m:type m:val="bar"/>
            </m:fPr>
            <m:num>
              <m:r>
                <m:t>2</m:t>
              </m:r>
            </m:num>
            <m:den>
              <m:r>
                <m:t>n</m:t>
              </m:r>
              <m:sSub>
                <m:e>
                  <m:r>
                    <m:t>μ</m:t>
                  </m:r>
                </m:e>
                <m:sub>
                  <m:acc>
                    <m:accPr>
                      <m:chr m:val="̂"/>
                    </m:accPr>
                    <m:e>
                      <m:r>
                        <m:t>y</m:t>
                      </m:r>
                    </m:e>
                  </m:acc>
                </m:sub>
              </m:sSub>
            </m:den>
          </m:f>
          <m:nary>
            <m:naryPr>
              <m:chr m:val="∑"/>
              <m:limLoc m:val="undOvr"/>
              <m:subHide m:val="off"/>
              <m:supHide m:val="off"/>
            </m:naryPr>
            <m:sub>
              <m:r>
                <m:t>i</m:t>
              </m:r>
              <m:r>
                <m:rPr>
                  <m:sty m:val="p"/>
                </m:rPr>
                <m:t>=</m:t>
              </m:r>
              <m:r>
                <m:t>1</m:t>
              </m:r>
            </m:sub>
            <m:sup>
              <m:r>
                <m:t>n</m:t>
              </m:r>
            </m:sup>
            <m:e>
              <m:d>
                <m:dPr>
                  <m:begChr m:val="("/>
                  <m:sepChr m:val=""/>
                  <m:endChr m:val=")"/>
                  <m:grow/>
                </m:dPr>
                <m:e>
                  <m:sSub>
                    <m:e>
                      <m:r>
                        <m:t>ϕ</m:t>
                      </m:r>
                    </m:e>
                    <m:sub>
                      <m:r>
                        <m:t>0</m:t>
                      </m:r>
                    </m:sub>
                  </m:sSub>
                  <m:r>
                    <m:rPr>
                      <m:sty m:val="p"/>
                    </m:rPr>
                    <m:t>+</m:t>
                  </m:r>
                  <m:nary>
                    <m:naryPr>
                      <m:chr m:val="∑"/>
                      <m:limLoc m:val="undOvr"/>
                      <m:subHide m:val="off"/>
                      <m:supHide m:val="off"/>
                    </m:naryPr>
                    <m:sub>
                      <m:r>
                        <m:t>k</m:t>
                      </m:r>
                      <m:r>
                        <m:rPr>
                          <m:sty m:val="p"/>
                        </m:rPr>
                        <m:t>=</m:t>
                      </m:r>
                      <m:r>
                        <m:t>1</m:t>
                      </m:r>
                    </m:sub>
                    <m:sup>
                      <m:r>
                        <m:t>K</m:t>
                      </m:r>
                    </m:sup>
                    <m:e>
                      <m:sSub>
                        <m:e>
                          <m:r>
                            <m:t>ϕ</m:t>
                          </m:r>
                        </m:e>
                        <m:sub>
                          <m:r>
                            <m:t>i</m:t>
                          </m:r>
                          <m:r>
                            <m:t>k</m:t>
                          </m:r>
                        </m:sub>
                      </m:sSub>
                    </m:e>
                  </m:nary>
                </m:e>
              </m:d>
            </m:e>
          </m:nary>
          <m:d>
            <m:dPr>
              <m:begChr m:val="("/>
              <m:sepChr m:val=""/>
              <m:endChr m:val=")"/>
              <m:grow/>
            </m:dPr>
            <m:e>
              <m:sSub>
                <m:e>
                  <m:r>
                    <m:t>R</m:t>
                  </m:r>
                </m:e>
                <m:sub>
                  <m:r>
                    <m:t>i</m:t>
                  </m:r>
                </m:sub>
              </m:sSub>
              <m:r>
                <m:rPr>
                  <m:sty m:val="p"/>
                </m:rPr>
                <m:t>−</m:t>
              </m:r>
              <m:f>
                <m:fPr>
                  <m:type m:val="bar"/>
                </m:fPr>
                <m:num>
                  <m:r>
                    <m:t>1</m:t>
                  </m:r>
                </m:num>
                <m:den>
                  <m:r>
                    <m:t>2</m:t>
                  </m:r>
                </m:den>
              </m:f>
            </m:e>
          </m:d>
          <m:r>
            <m:rPr>
              <m:sty m:val="p"/>
            </m:rPr>
            <m:t>.</m:t>
          </m:r>
        </m:oMath>
      </m:oMathPara>
    </w:p>
    <w:p>
      <w:pPr>
        <w:pStyle w:val="FirstParagraph"/>
      </w:pPr>
      <w:r>
        <w:t xml:space="preserve">Expanding the expression yields:</w:t>
      </w:r>
    </w:p>
    <w:p>
      <w:pPr>
        <w:pStyle w:val="BodyText"/>
      </w:pPr>
      <m:oMathPara>
        <m:oMathParaPr>
          <m:jc m:val="center"/>
        </m:oMathParaPr>
        <m:oMath>
          <m:sSub>
            <m:e>
              <m:r>
                <m:t>C</m:t>
              </m:r>
            </m:e>
            <m:sub>
              <m:acc>
                <m:accPr>
                  <m:chr m:val="̂"/>
                </m:accPr>
                <m:e>
                  <m:r>
                    <m:t>y</m:t>
                  </m:r>
                </m:e>
              </m:acc>
            </m:sub>
          </m:sSub>
          <m:r>
            <m:rPr>
              <m:sty m:val="p"/>
            </m:rPr>
            <m:t>=</m:t>
          </m:r>
          <m:f>
            <m:fPr>
              <m:type m:val="bar"/>
            </m:fPr>
            <m:num>
              <m:r>
                <m:t>2</m:t>
              </m:r>
            </m:num>
            <m:den>
              <m:r>
                <m:t>n</m:t>
              </m:r>
              <m:sSub>
                <m:e>
                  <m:r>
                    <m:t>μ</m:t>
                  </m:r>
                </m:e>
                <m:sub>
                  <m:acc>
                    <m:accPr>
                      <m:chr m:val="̂"/>
                    </m:accPr>
                    <m:e>
                      <m:r>
                        <m:t>y</m:t>
                      </m:r>
                    </m:e>
                  </m:acc>
                </m:sub>
              </m:sSub>
            </m:den>
          </m:f>
          <m:d>
            <m:dPr>
              <m:begChr m:val="["/>
              <m:sepChr m:val=""/>
              <m:endChr m:val="]"/>
              <m:grow/>
            </m:dPr>
            <m:e>
              <m:sSub>
                <m:e>
                  <m:r>
                    <m:t>ϕ</m:t>
                  </m:r>
                </m:e>
                <m:sub>
                  <m:r>
                    <m:t>0</m:t>
                  </m:r>
                </m:sub>
              </m:sSub>
              <m:nary>
                <m:naryPr>
                  <m:chr m:val="∑"/>
                  <m:limLoc m:val="undOvr"/>
                  <m:subHide m:val="off"/>
                  <m:supHide m:val="off"/>
                </m:naryPr>
                <m:sub>
                  <m:r>
                    <m:t>i</m:t>
                  </m:r>
                  <m:r>
                    <m:rPr>
                      <m:sty m:val="p"/>
                    </m:rPr>
                    <m:t>=</m:t>
                  </m:r>
                  <m:r>
                    <m:t>1</m:t>
                  </m:r>
                </m:sub>
                <m:sup>
                  <m:r>
                    <m:t>n</m:t>
                  </m:r>
                </m:sup>
                <m:e>
                  <m:d>
                    <m:dPr>
                      <m:begChr m:val="("/>
                      <m:sepChr m:val=""/>
                      <m:endChr m:val=")"/>
                      <m:grow/>
                    </m:dPr>
                    <m:e>
                      <m:sSub>
                        <m:e>
                          <m:r>
                            <m:t>R</m:t>
                          </m:r>
                        </m:e>
                        <m:sub>
                          <m:r>
                            <m:t>i</m:t>
                          </m:r>
                        </m:sub>
                      </m:sSub>
                      <m:r>
                        <m:rPr>
                          <m:sty m:val="p"/>
                        </m:rPr>
                        <m:t>−</m:t>
                      </m:r>
                      <m:f>
                        <m:fPr>
                          <m:type m:val="bar"/>
                        </m:fPr>
                        <m:num>
                          <m:r>
                            <m:t>1</m:t>
                          </m:r>
                        </m:num>
                        <m:den>
                          <m:r>
                            <m:t>2</m:t>
                          </m:r>
                        </m:den>
                      </m:f>
                    </m:e>
                  </m:d>
                </m:e>
              </m:nary>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ff"/>
                    </m:naryPr>
                    <m:sub>
                      <m:r>
                        <m:t>i</m:t>
                      </m:r>
                      <m:r>
                        <m:rPr>
                          <m:sty m:val="p"/>
                        </m:rPr>
                        <m:t>=</m:t>
                      </m:r>
                      <m:r>
                        <m:t>1</m:t>
                      </m:r>
                    </m:sub>
                    <m:sup>
                      <m:r>
                        <m:t>n</m:t>
                      </m:r>
                    </m:sup>
                    <m:e>
                      <m:sSub>
                        <m:e>
                          <m:r>
                            <m:t>ϕ</m:t>
                          </m:r>
                        </m:e>
                        <m:sub>
                          <m:r>
                            <m:t>i</m:t>
                          </m:r>
                          <m:r>
                            <m:t>k</m:t>
                          </m:r>
                        </m:sub>
                      </m:sSub>
                    </m:e>
                  </m:nary>
                </m:e>
              </m:nary>
              <m:d>
                <m:dPr>
                  <m:begChr m:val="("/>
                  <m:sepChr m:val=""/>
                  <m:endChr m:val=")"/>
                  <m:grow/>
                </m:dPr>
                <m:e>
                  <m:sSub>
                    <m:e>
                      <m:r>
                        <m:t>R</m:t>
                      </m:r>
                    </m:e>
                    <m:sub>
                      <m:r>
                        <m:t>i</m:t>
                      </m:r>
                    </m:sub>
                  </m:sSub>
                  <m:r>
                    <m:rPr>
                      <m:sty m:val="p"/>
                    </m:rPr>
                    <m:t>−</m:t>
                  </m:r>
                  <m:f>
                    <m:fPr>
                      <m:type m:val="bar"/>
                    </m:fPr>
                    <m:num>
                      <m:r>
                        <m:t>1</m:t>
                      </m:r>
                    </m:num>
                    <m:den>
                      <m:r>
                        <m:t>2</m:t>
                      </m:r>
                    </m:den>
                  </m:f>
                </m:e>
              </m:d>
            </m:e>
          </m:d>
          <m:r>
            <m:rPr>
              <m:sty m:val="p"/>
            </m:rPr>
            <m:t>.</m:t>
          </m:r>
        </m:oMath>
      </m:oMathPara>
    </w:p>
    <w:p>
      <w:pPr>
        <w:pStyle w:val="FirstParagraph"/>
      </w:pPr>
      <w:r>
        <w:t xml:space="preserve">Because the centred ranks sum to zero, the baseline prediction term</w:t>
      </w:r>
      <w:r>
        <w:t xml:space="preserve"> </w:t>
      </w:r>
      <m:oMath>
        <m:sSub>
          <m:e>
            <m:r>
              <m:t>ϕ</m:t>
            </m:r>
          </m:e>
          <m:sub>
            <m:r>
              <m:t>0</m:t>
            </m:r>
          </m:sub>
        </m:sSub>
      </m:oMath>
      <w:r>
        <w:t xml:space="preserve"> </w:t>
      </w:r>
      <w:r>
        <w:t xml:space="preserve">cancels out:</w:t>
      </w:r>
    </w:p>
    <w:p>
      <w:pPr>
        <w:pStyle w:val="BodyText"/>
      </w:pPr>
      <w:r>
        <w:t xml:space="preserve">From this point, the concentration index of the predicted outcome simplifies to:</w:t>
      </w:r>
    </w:p>
    <w:p>
      <w:pPr>
        <w:pStyle w:val="BodyText"/>
      </w:pPr>
      <m:oMathPara>
        <m:oMathParaPr>
          <m:jc m:val="center"/>
        </m:oMathParaPr>
        <m:oMath>
          <m:sSub>
            <m:e>
              <m:r>
                <m:t>C</m:t>
              </m:r>
            </m:e>
            <m:sub>
              <m:acc>
                <m:accPr>
                  <m:chr m:val="̂"/>
                </m:accPr>
                <m:e>
                  <m:r>
                    <m:t>y</m:t>
                  </m:r>
                </m:e>
              </m:acc>
            </m:sub>
          </m:sSub>
          <m:r>
            <m:rPr>
              <m:sty m:val="p"/>
            </m:rPr>
            <m:t>=</m:t>
          </m:r>
          <m:f>
            <m:fPr>
              <m:type m:val="bar"/>
            </m:fPr>
            <m:num>
              <m:r>
                <m:t>2</m:t>
              </m:r>
            </m:num>
            <m:den>
              <m:r>
                <m:t>n</m:t>
              </m:r>
              <m:sSub>
                <m:e>
                  <m:r>
                    <m:t>μ</m:t>
                  </m:r>
                </m:e>
                <m:sub>
                  <m:acc>
                    <m:accPr>
                      <m:chr m:val="̂"/>
                    </m:accPr>
                    <m:e>
                      <m:r>
                        <m:t>y</m:t>
                      </m:r>
                    </m:e>
                  </m:acc>
                </m:sub>
              </m:sSub>
            </m:den>
          </m:f>
          <m:nary>
            <m:naryPr>
              <m:chr m:val="∑"/>
              <m:limLoc m:val="undOvr"/>
              <m:subHide m:val="off"/>
              <m:supHide m:val="off"/>
            </m:naryPr>
            <m:sub>
              <m:r>
                <m:t>k</m:t>
              </m:r>
              <m:r>
                <m:rPr>
                  <m:sty m:val="p"/>
                </m:rPr>
                <m:t>=</m:t>
              </m:r>
              <m:r>
                <m:t>1</m:t>
              </m:r>
            </m:sub>
            <m:sup>
              <m:r>
                <m:t>K</m:t>
              </m:r>
            </m:sup>
            <m:e>
              <m:nary>
                <m:naryPr>
                  <m:chr m:val="∑"/>
                  <m:limLoc m:val="undOvr"/>
                  <m:subHide m:val="off"/>
                  <m:supHide m:val="off"/>
                </m:naryPr>
                <m:sub>
                  <m:r>
                    <m:t>i</m:t>
                  </m:r>
                  <m:r>
                    <m:rPr>
                      <m:sty m:val="p"/>
                    </m:rPr>
                    <m:t>=</m:t>
                  </m:r>
                  <m:r>
                    <m:t>1</m:t>
                  </m:r>
                </m:sub>
                <m:sup>
                  <m:r>
                    <m:t>n</m:t>
                  </m:r>
                </m:sup>
                <m:e>
                  <m:sSub>
                    <m:e>
                      <m:r>
                        <m:t>ϕ</m:t>
                      </m:r>
                    </m:e>
                    <m:sub>
                      <m:r>
                        <m:t>i</m:t>
                      </m:r>
                      <m:r>
                        <m:t>k</m:t>
                      </m:r>
                    </m:sub>
                  </m:sSub>
                </m:e>
              </m:nary>
            </m:e>
          </m:nary>
          <m:d>
            <m:dPr>
              <m:begChr m:val="("/>
              <m:sepChr m:val=""/>
              <m:endChr m:val=")"/>
              <m:grow/>
            </m:dPr>
            <m:e>
              <m:sSub>
                <m:e>
                  <m:r>
                    <m:t>R</m:t>
                  </m:r>
                </m:e>
                <m:sub>
                  <m:r>
                    <m:t>i</m:t>
                  </m:r>
                </m:sub>
              </m:sSub>
              <m:r>
                <m:rPr>
                  <m:sty m:val="p"/>
                </m:rPr>
                <m:t>−</m:t>
              </m:r>
              <m:f>
                <m:fPr>
                  <m:type m:val="bar"/>
                </m:fPr>
                <m:num>
                  <m:r>
                    <m:t>1</m:t>
                  </m:r>
                </m:num>
                <m:den>
                  <m:r>
                    <m:t>2</m:t>
                  </m:r>
                </m:den>
              </m:f>
            </m:e>
          </m:d>
          <m:r>
            <m:rPr>
              <m:sty m:val="p"/>
            </m:rPr>
            <m:t>.</m:t>
          </m:r>
        </m:oMath>
      </m:oMathPara>
    </w:p>
    <w:p>
      <w:pPr>
        <w:pStyle w:val="FirstParagraph"/>
      </w:pPr>
      <w:r>
        <w:t xml:space="preserve">By swapping the order of summation, we isolate the deterministic components:</w:t>
      </w:r>
    </w:p>
    <w:p>
      <w:pPr>
        <w:pStyle w:val="BodyText"/>
      </w:pPr>
      <m:oMathPara>
        <m:oMathParaPr>
          <m:jc m:val="center"/>
        </m:oMathParaPr>
        <m:oMath>
          <m:sSub>
            <m:e>
              <m:r>
                <m:t>C</m:t>
              </m:r>
            </m:e>
            <m:sub>
              <m:acc>
                <m:accPr>
                  <m:chr m:val="̂"/>
                </m:accPr>
                <m:e>
                  <m:r>
                    <m:t>y</m:t>
                  </m:r>
                </m:e>
              </m:acc>
            </m:sub>
          </m:sSub>
          <m:r>
            <m:rPr>
              <m:sty m:val="p"/>
            </m:rPr>
            <m:t>=</m:t>
          </m:r>
          <m:nary>
            <m:naryPr>
              <m:chr m:val="∑"/>
              <m:limLoc m:val="undOvr"/>
              <m:subHide m:val="off"/>
              <m:supHide m:val="off"/>
            </m:naryPr>
            <m:sub>
              <m:r>
                <m:t>k</m:t>
              </m:r>
              <m:r>
                <m:rPr>
                  <m:sty m:val="p"/>
                </m:rPr>
                <m:t>=</m:t>
              </m:r>
              <m:r>
                <m:t>1</m:t>
              </m:r>
            </m:sub>
            <m:sup>
              <m:r>
                <m:t>K</m:t>
              </m:r>
            </m:sup>
            <m:e>
              <m:d>
                <m:dPr>
                  <m:begChr m:val="["/>
                  <m:sepChr m:val=""/>
                  <m:endChr m:val="]"/>
                  <m:grow/>
                </m:dPr>
                <m:e>
                  <m:f>
                    <m:fPr>
                      <m:type m:val="bar"/>
                    </m:fPr>
                    <m:num>
                      <m:r>
                        <m:t>2</m:t>
                      </m:r>
                    </m:num>
                    <m:den>
                      <m:r>
                        <m:t>n</m:t>
                      </m:r>
                      <m:sSub>
                        <m:e>
                          <m:r>
                            <m:t>μ</m:t>
                          </m:r>
                        </m:e>
                        <m:sub>
                          <m:acc>
                            <m:accPr>
                              <m:chr m:val="̂"/>
                            </m:accPr>
                            <m:e>
                              <m:r>
                                <m:t>y</m:t>
                              </m:r>
                            </m:e>
                          </m:acc>
                        </m:sub>
                      </m:sSub>
                    </m:den>
                  </m:f>
                  <m:nary>
                    <m:naryPr>
                      <m:chr m:val="∑"/>
                      <m:limLoc m:val="undOvr"/>
                      <m:subHide m:val="off"/>
                      <m:supHide m:val="off"/>
                    </m:naryPr>
                    <m:sub>
                      <m:r>
                        <m:t>i</m:t>
                      </m:r>
                      <m:r>
                        <m:rPr>
                          <m:sty m:val="p"/>
                        </m:rPr>
                        <m:t>=</m:t>
                      </m:r>
                      <m:r>
                        <m:t>1</m:t>
                      </m:r>
                    </m:sub>
                    <m:sup>
                      <m:r>
                        <m:t>n</m:t>
                      </m:r>
                    </m:sup>
                    <m:e>
                      <m:sSub>
                        <m:e>
                          <m:r>
                            <m:t>ϕ</m:t>
                          </m:r>
                        </m:e>
                        <m:sub>
                          <m:r>
                            <m:t>i</m:t>
                          </m:r>
                          <m:r>
                            <m:t>k</m:t>
                          </m:r>
                        </m:sub>
                      </m:sSub>
                    </m:e>
                  </m:nary>
                  <m:d>
                    <m:dPr>
                      <m:begChr m:val="("/>
                      <m:sepChr m:val=""/>
                      <m:endChr m:val=")"/>
                      <m:grow/>
                    </m:dPr>
                    <m:e>
                      <m:sSub>
                        <m:e>
                          <m:r>
                            <m:t>R</m:t>
                          </m:r>
                        </m:e>
                        <m:sub>
                          <m:r>
                            <m:t>i</m:t>
                          </m:r>
                        </m:sub>
                      </m:sSub>
                      <m:r>
                        <m:rPr>
                          <m:sty m:val="p"/>
                        </m:rPr>
                        <m:t>−</m:t>
                      </m:r>
                      <m:f>
                        <m:fPr>
                          <m:type m:val="bar"/>
                        </m:fPr>
                        <m:num>
                          <m:r>
                            <m:t>1</m:t>
                          </m:r>
                        </m:num>
                        <m:den>
                          <m:r>
                            <m:t>2</m:t>
                          </m:r>
                        </m:den>
                      </m:f>
                    </m:e>
                  </m:d>
                </m:e>
              </m:d>
            </m:e>
          </m:nary>
          <m:r>
            <m:rPr>
              <m:sty m:val="p"/>
            </m:rPr>
            <m:t>.</m:t>
          </m:r>
        </m:oMath>
      </m:oMathPara>
    </w:p>
    <w:p>
      <w:pPr>
        <w:pStyle w:val="FirstParagraph"/>
      </w:pPr>
      <w:r>
        <w:t xml:space="preserve">We define the bracketed term as the SHAP-based inequality contribution of feature</w:t>
      </w:r>
      <w:r>
        <w:t xml:space="preserve"> </w:t>
      </w:r>
      <m:oMath>
        <m:r>
          <m:t>k</m:t>
        </m:r>
      </m:oMath>
      <w:r>
        <w:t xml:space="preserve">, denoted as</w:t>
      </w:r>
      <w:r>
        <w:t xml:space="preserve"> </w:t>
      </w:r>
      <m:oMath>
        <m:sSubSup>
          <m:e>
            <m:r>
              <m:t>D</m:t>
            </m:r>
          </m:e>
          <m:sub>
            <m:r>
              <m:t>k</m:t>
            </m:r>
          </m:sub>
          <m:sup>
            <m:r>
              <m:rPr>
                <m:nor/>
                <m:sty m:val="p"/>
              </m:rPr>
              <m:t>SHAP</m:t>
            </m:r>
          </m:sup>
        </m:sSubSup>
      </m:oMath>
      <w:r>
        <w:t xml:space="preserve">:</w:t>
      </w:r>
    </w:p>
    <w:p>
      <w:pPr>
        <w:pStyle w:val="BodyText"/>
      </w:pPr>
      <m:oMathPara>
        <m:oMathParaPr>
          <m:jc m:val="center"/>
        </m:oMathParaPr>
        <m:oMath>
          <m:sSubSup>
            <m:e>
              <m:r>
                <m:t>D</m:t>
              </m:r>
            </m:e>
            <m:sub>
              <m:r>
                <m:t>k</m:t>
              </m:r>
            </m:sub>
            <m:sup>
              <m:r>
                <m:rPr>
                  <m:nor/>
                  <m:sty m:val="p"/>
                </m:rPr>
                <m:t>SHAP</m:t>
              </m:r>
            </m:sup>
          </m:sSubSup>
          <m:r>
            <m:rPr>
              <m:sty m:val="p"/>
            </m:rPr>
            <m:t>=</m:t>
          </m:r>
          <m:f>
            <m:fPr>
              <m:type m:val="bar"/>
            </m:fPr>
            <m:num>
              <m:r>
                <m:t>2</m:t>
              </m:r>
            </m:num>
            <m:den>
              <m:r>
                <m:t>n</m:t>
              </m:r>
              <m:sSub>
                <m:e>
                  <m:r>
                    <m:t>μ</m:t>
                  </m:r>
                </m:e>
                <m:sub>
                  <m:acc>
                    <m:accPr>
                      <m:chr m:val="̂"/>
                    </m:accPr>
                    <m:e>
                      <m:r>
                        <m:t>y</m:t>
                      </m:r>
                    </m:e>
                  </m:acc>
                </m:sub>
              </m:sSub>
            </m:den>
          </m:f>
          <m:nary>
            <m:naryPr>
              <m:chr m:val="∑"/>
              <m:limLoc m:val="undOvr"/>
              <m:subHide m:val="off"/>
              <m:supHide m:val="off"/>
            </m:naryPr>
            <m:sub>
              <m:r>
                <m:t>i</m:t>
              </m:r>
              <m:r>
                <m:rPr>
                  <m:sty m:val="p"/>
                </m:rPr>
                <m:t>=</m:t>
              </m:r>
              <m:r>
                <m:t>1</m:t>
              </m:r>
            </m:sub>
            <m:sup>
              <m:r>
                <m:t>n</m:t>
              </m:r>
            </m:sup>
            <m:e>
              <m:sSub>
                <m:e>
                  <m:r>
                    <m:t>ϕ</m:t>
                  </m:r>
                </m:e>
                <m:sub>
                  <m:r>
                    <m:t>i</m:t>
                  </m:r>
                  <m:r>
                    <m:t>k</m:t>
                  </m:r>
                </m:sub>
              </m:sSub>
            </m:e>
          </m:nary>
          <m:d>
            <m:dPr>
              <m:begChr m:val="("/>
              <m:sepChr m:val=""/>
              <m:endChr m:val=")"/>
              <m:grow/>
            </m:dPr>
            <m:e>
              <m:sSub>
                <m:e>
                  <m:r>
                    <m:t>R</m:t>
                  </m:r>
                </m:e>
                <m:sub>
                  <m:r>
                    <m:t>i</m:t>
                  </m:r>
                </m:sub>
              </m:sSub>
              <m:r>
                <m:rPr>
                  <m:sty m:val="p"/>
                </m:rPr>
                <m:t>−</m:t>
              </m:r>
              <m:f>
                <m:fPr>
                  <m:type m:val="bar"/>
                </m:fPr>
                <m:num>
                  <m:r>
                    <m:t>1</m:t>
                  </m:r>
                </m:num>
                <m:den>
                  <m:r>
                    <m:t>2</m:t>
                  </m:r>
                </m:den>
              </m:f>
            </m:e>
          </m:d>
          <m:r>
            <m:rPr>
              <m:sty m:val="p"/>
            </m:rPr>
            <m:t>.</m:t>
          </m:r>
        </m:oMath>
      </m:oMathPara>
    </w:p>
    <w:p>
      <w:pPr>
        <w:pStyle w:val="FirstParagraph"/>
      </w:pPr>
      <w:r>
        <w:t xml:space="preserve">This results in a direct, additive SHAP decomposition for the concentration index of the predicted outcome:</w:t>
      </w:r>
    </w:p>
    <w:p>
      <w:pPr>
        <w:pStyle w:val="BodyText"/>
      </w:pPr>
      <m:oMathPara>
        <m:oMathParaPr>
          <m:jc m:val="center"/>
        </m:oMathParaPr>
        <m:oMath>
          <m:sSub>
            <m:e>
              <m:r>
                <m:t>C</m:t>
              </m:r>
            </m:e>
            <m:sub>
              <m:acc>
                <m:accPr>
                  <m:chr m:val="̂"/>
                </m:accPr>
                <m:e>
                  <m:r>
                    <m:t>y</m:t>
                  </m:r>
                </m:e>
              </m:acc>
            </m:sub>
          </m:sSub>
          <m:r>
            <m:rPr>
              <m:sty m:val="p"/>
            </m:rPr>
            <m:t>=</m:t>
          </m:r>
          <m:nary>
            <m:naryPr>
              <m:chr m:val="∑"/>
              <m:limLoc m:val="undOvr"/>
              <m:subHide m:val="off"/>
              <m:supHide m:val="off"/>
            </m:naryPr>
            <m:sub>
              <m:r>
                <m:t>k</m:t>
              </m:r>
              <m:r>
                <m:rPr>
                  <m:sty m:val="p"/>
                </m:rPr>
                <m:t>=</m:t>
              </m:r>
              <m:r>
                <m:t>1</m:t>
              </m:r>
            </m:sub>
            <m:sup>
              <m:r>
                <m:t>K</m:t>
              </m:r>
            </m:sup>
            <m:e>
              <m:sSubSup>
                <m:e>
                  <m:r>
                    <m:t>D</m:t>
                  </m:r>
                </m:e>
                <m:sub>
                  <m:r>
                    <m:t>k</m:t>
                  </m:r>
                </m:sub>
                <m:sup>
                  <m:r>
                    <m:rPr>
                      <m:nor/>
                      <m:sty m:val="p"/>
                    </m:rPr>
                    <m:t>SHAP</m:t>
                  </m:r>
                </m:sup>
              </m:sSubSup>
            </m:e>
          </m:nary>
          <m:r>
            <m:rPr>
              <m:sty m:val="p"/>
            </m:rPr>
            <m:t>.</m:t>
          </m:r>
        </m:oMath>
      </m:oMathPara>
    </w:p>
    <w:p>
      <w:pPr>
        <w:pStyle w:val="FirstParagraph"/>
      </w:pPr>
      <w:r>
        <w:t xml:space="preserve">This equation shows that the absolute contribution of feature</w:t>
      </w:r>
      <w:r>
        <w:t xml:space="preserve"> </w:t>
      </w:r>
      <m:oMath>
        <m:r>
          <m:t>k</m:t>
        </m:r>
      </m:oMath>
      <w:r>
        <w:t xml:space="preserve"> </w:t>
      </w:r>
      <w:r>
        <w:t xml:space="preserve">to health inequality is the rank-weighted average of its local SHAP contributions, scaled by the mean predicted outcome. A feature contributes a large share to overall inequality when its SHAP values are large in magnitude and systematically concentrated among richer or poorer individuals.</w:t>
      </w:r>
    </w:p>
    <w:bookmarkEnd w:id="40"/>
    <w:bookmarkStart w:id="41" w:name="sec-shap-percentage-contributions"/>
    <w:p>
      <w:pPr>
        <w:pStyle w:val="Heading3"/>
      </w:pPr>
      <w:r>
        <w:t xml:space="preserve">Percentage Contributions</w:t>
      </w:r>
    </w:p>
    <w:p>
      <w:pPr>
        <w:pStyle w:val="FirstParagraph"/>
      </w:pPr>
      <w:r>
        <w:t xml:space="preserve">As in</w:t>
      </w:r>
      <w:r>
        <w:t xml:space="preserve"> </w:t>
      </w:r>
      <w:hyperlink w:anchor="sec-percentage-contributions">
        <w:r>
          <w:rPr>
            <w:rStyle w:val="Hyperlink"/>
          </w:rPr>
          <w:t xml:space="preserve">Section 2.3</w:t>
        </w:r>
      </w:hyperlink>
      <w:r>
        <w:t xml:space="preserve">, I express the SHAP-based contributions as percentages of the concentration index for the fitted mortality risks. For determinant</w:t>
      </w:r>
      <w:r>
        <w:t xml:space="preserve"> </w:t>
      </w:r>
      <m:oMath>
        <m:r>
          <m:t>k</m:t>
        </m:r>
      </m:oMath>
      <w:r>
        <w:t xml:space="preserve">, this is</w:t>
      </w:r>
    </w:p>
    <w:p>
      <w:pPr>
        <w:pStyle w:val="BodyText"/>
      </w:pPr>
      <m:oMathPara>
        <m:oMathParaPr>
          <m:jc m:val="center"/>
        </m:oMathParaPr>
        <m:oMath>
          <m:sSubSup>
            <m:e>
              <m:r>
                <m:rPr>
                  <m:nor/>
                  <m:sty m:val="p"/>
                </m:rPr>
                <m:t>PC</m:t>
              </m:r>
            </m:e>
            <m:sub>
              <m:r>
                <m:t>k</m:t>
              </m:r>
            </m:sub>
            <m:sup>
              <m:r>
                <m:rPr>
                  <m:nor/>
                  <m:sty m:val="p"/>
                </m:rPr>
                <m:t>SHAP</m:t>
              </m:r>
            </m:sup>
          </m:sSubSup>
          <m:r>
            <m:rPr>
              <m:sty m:val="p"/>
            </m:rPr>
            <m:t>=</m:t>
          </m:r>
          <m:r>
            <m:t>100</m:t>
          </m:r>
          <m:r>
            <m:rPr>
              <m:sty m:val="p"/>
            </m:rPr>
            <m:t>×</m:t>
          </m:r>
          <m:f>
            <m:fPr>
              <m:type m:val="bar"/>
            </m:fPr>
            <m:num>
              <m:sSubSup>
                <m:e>
                  <m:r>
                    <m:t>D</m:t>
                  </m:r>
                </m:e>
                <m:sub>
                  <m:r>
                    <m:t>k</m:t>
                  </m:r>
                </m:sub>
                <m:sup>
                  <m:r>
                    <m:rPr>
                      <m:nor/>
                      <m:sty m:val="p"/>
                    </m:rPr>
                    <m:t>SHAP</m:t>
                  </m:r>
                </m:sup>
              </m:sSubSup>
            </m:num>
            <m:den>
              <m:sSub>
                <m:e>
                  <m:r>
                    <m:t>C</m:t>
                  </m:r>
                </m:e>
                <m:sub>
                  <m:acc>
                    <m:accPr>
                      <m:chr m:val="̂"/>
                    </m:accPr>
                    <m:e>
                      <m:r>
                        <m:t>y</m:t>
                      </m:r>
                    </m:e>
                  </m:acc>
                </m:sub>
              </m:sSub>
            </m:den>
          </m:f>
          <m:r>
            <m:rPr>
              <m:sty m:val="p"/>
            </m:rPr>
            <m:t>.</m:t>
          </m:r>
        </m:oMath>
      </m:oMathPara>
    </w:p>
    <w:p>
      <w:pPr>
        <w:pStyle w:val="FirstParagraph"/>
      </w:pPr>
      <w:r>
        <w:t xml:space="preserve">In this case,</w:t>
      </w:r>
      <w:r>
        <w:t xml:space="preserve"> </w:t>
      </w:r>
      <m:oMath>
        <m:sSubSup>
          <m:e>
            <m:r>
              <m:t>D</m:t>
            </m:r>
          </m:e>
          <m:sub>
            <m:r>
              <m:t>k</m:t>
            </m:r>
          </m:sub>
          <m:sup>
            <m:r>
              <m:rPr>
                <m:nor/>
                <m:sty m:val="p"/>
              </m:rPr>
              <m:t>SHAP</m:t>
            </m:r>
          </m:sup>
        </m:sSubSup>
      </m:oMath>
      <w:r>
        <w:t xml:space="preserve"> </w:t>
      </w:r>
      <w:r>
        <w:t xml:space="preserve">is the absolute inequality contribution from the SHAP values for determinant</w:t>
      </w:r>
      <w:r>
        <w:t xml:space="preserve"> </w:t>
      </w:r>
      <m:oMath>
        <m:r>
          <m:t>k</m:t>
        </m:r>
      </m:oMath>
      <w:r>
        <w:t xml:space="preserve">, and</w:t>
      </w:r>
      <w:r>
        <w:t xml:space="preserve"> </w:t>
      </w:r>
      <m:oMath>
        <m:sSub>
          <m:e>
            <m:r>
              <m:t>C</m:t>
            </m:r>
          </m:e>
          <m:sub>
            <m:acc>
              <m:accPr>
                <m:chr m:val="̂"/>
              </m:accPr>
              <m:e>
                <m:r>
                  <m:t>y</m:t>
                </m:r>
              </m:e>
            </m:acc>
          </m:sub>
        </m:sSub>
      </m:oMath>
      <w:r>
        <w:t xml:space="preserve"> </w:t>
      </w:r>
      <w:r>
        <w:t xml:space="preserve">is the concentration index of the fitted under-five mortality risks. A positive percentage means that the determinant contributes in the same direction as the overall predicted inequality. A negative percentage means that it offsets part of that inequality. If the SHAP additivity gap is small and</w:t>
      </w:r>
      <w:r>
        <w:t xml:space="preserve"> </w:t>
      </w:r>
      <m:oMath>
        <m:sSub>
          <m:e>
            <m:r>
              <m:t>C</m:t>
            </m:r>
          </m:e>
          <m:sub>
            <m:acc>
              <m:accPr>
                <m:chr m:val="̂"/>
              </m:accPr>
              <m:e>
                <m:r>
                  <m:t>y</m:t>
                </m:r>
              </m:e>
            </m:acc>
          </m:sub>
        </m:sSub>
        <m:r>
          <m:rPr>
            <m:sty m:val="p"/>
          </m:rPr>
          <m:t>≠</m:t>
        </m:r>
        <m:r>
          <m:t>0</m:t>
        </m:r>
      </m:oMath>
      <w:r>
        <w:t xml:space="preserve">, the percentages should add up to about 100 per cent.</w:t>
      </w:r>
    </w:p>
    <w:bookmarkEnd w:id="41"/>
    <w:bookmarkStart w:id="42" w:name="sec-linear-decomposition-comparison"/>
    <w:p>
      <w:pPr>
        <w:pStyle w:val="Heading3"/>
      </w:pPr>
      <w:r>
        <w:t xml:space="preserve">Comparison with the Linear Decomposition Logic</w:t>
      </w:r>
    </w:p>
    <w:p>
      <w:pPr>
        <w:pStyle w:val="FirstParagraph"/>
      </w:pPr>
      <w:r>
        <w:t xml:space="preserve">The SHAP-based decomposition plays the same role as the Wagstaff decomposition, but it uses a different object inside the contribution term. In the regression-based framework, the absolute contribution of determinant</w:t>
      </w:r>
      <w:r>
        <w:t xml:space="preserve"> </w:t>
      </w:r>
      <m:oMath>
        <m:r>
          <m:t>k</m:t>
        </m:r>
      </m:oMath>
      <w:r>
        <w:t xml:space="preserve"> </w:t>
      </w:r>
      <w:r>
        <w:t xml:space="preserve">is</w:t>
      </w:r>
    </w:p>
    <w:p>
      <w:pPr>
        <w:pStyle w:val="BodyText"/>
      </w:pPr>
      <m:oMathPara>
        <m:oMathParaPr>
          <m:jc m:val="center"/>
        </m:oMathParaPr>
        <m:oMath>
          <m:d>
            <m:dPr>
              <m:begChr m:val="("/>
              <m:sepChr m:val=""/>
              <m:endChr m:val=")"/>
              <m:grow/>
            </m:dPr>
            <m:e>
              <m:f>
                <m:fPr>
                  <m:type m:val="bar"/>
                </m:fPr>
                <m:num>
                  <m:sSub>
                    <m:e>
                      <m:r>
                        <m:t>β</m:t>
                      </m:r>
                    </m:e>
                    <m:sub>
                      <m:r>
                        <m:t>k</m:t>
                      </m:r>
                    </m:sub>
                  </m:sSub>
                  <m:sSub>
                    <m:e>
                      <m:acc>
                        <m:accPr>
                          <m:chr m:val="‾"/>
                        </m:accPr>
                        <m:e>
                          <m:r>
                            <m:t>x</m:t>
                          </m:r>
                        </m:e>
                      </m:acc>
                    </m:e>
                    <m:sub>
                      <m:r>
                        <m:t>k</m:t>
                      </m:r>
                    </m:sub>
                  </m:sSub>
                </m:num>
                <m:den>
                  <m:r>
                    <m:t>μ</m:t>
                  </m:r>
                </m:den>
              </m:f>
            </m:e>
          </m:d>
          <m:sSub>
            <m:e>
              <m:r>
                <m:t>C</m:t>
              </m:r>
            </m:e>
            <m:sub>
              <m:r>
                <m:t>k</m:t>
              </m:r>
            </m:sub>
          </m:sSub>
          <m:r>
            <m:rPr>
              <m:sty m:val="p"/>
            </m:rPr>
            <m:t>.</m:t>
          </m:r>
        </m:oMath>
      </m:oMathPara>
    </w:p>
    <w:p>
      <w:pPr>
        <w:pStyle w:val="FirstParagraph"/>
      </w:pPr>
      <w:r>
        <w:t xml:space="preserve">This combines the fitted regression coefficient with the socioeconomic distribution of the determinant. The limitation is that</w:t>
      </w:r>
      <w:r>
        <w:t xml:space="preserve"> </w:t>
      </w:r>
      <m:oMath>
        <m:sSub>
          <m:e>
            <m:r>
              <m:t>β</m:t>
            </m:r>
          </m:e>
          <m:sub>
            <m:r>
              <m:t>k</m:t>
            </m:r>
          </m:sub>
        </m:sSub>
      </m:oMath>
      <w:r>
        <w:t xml:space="preserve"> </w:t>
      </w:r>
      <w:r>
        <w:t xml:space="preserve">is one conditional average association for the full sample. For example, a variable such as rural residence is treated with a single coefficient, even though its role in under-five mortality may differ across provinces, household conditions, and access to services. In the tree-based decomposition, this single coefficient is replaced by individual SHAP contributions. The absolute contribution becomes</w:t>
      </w:r>
    </w:p>
    <w:p>
      <w:pPr>
        <w:pStyle w:val="BodyText"/>
      </w:pPr>
      <m:oMathPara>
        <m:oMathParaPr>
          <m:jc m:val="center"/>
        </m:oMathParaPr>
        <m:oMath>
          <m:sSubSup>
            <m:e>
              <m:r>
                <m:t>D</m:t>
              </m:r>
            </m:e>
            <m:sub>
              <m:r>
                <m:t>k</m:t>
              </m:r>
            </m:sub>
            <m:sup>
              <m:r>
                <m:rPr>
                  <m:nor/>
                  <m:sty m:val="p"/>
                </m:rPr>
                <m:t>SHAP</m:t>
              </m:r>
            </m:sup>
          </m:sSubSup>
          <m:r>
            <m:rPr>
              <m:sty m:val="p"/>
            </m:rPr>
            <m:t>=</m:t>
          </m:r>
          <m:f>
            <m:fPr>
              <m:type m:val="bar"/>
            </m:fPr>
            <m:num>
              <m:r>
                <m:t>2</m:t>
              </m:r>
            </m:num>
            <m:den>
              <m:r>
                <m:t>n</m:t>
              </m:r>
              <m:sSub>
                <m:e>
                  <m:r>
                    <m:t>μ</m:t>
                  </m:r>
                </m:e>
                <m:sub>
                  <m:acc>
                    <m:accPr>
                      <m:chr m:val="̂"/>
                    </m:accPr>
                    <m:e>
                      <m:r>
                        <m:t>y</m:t>
                      </m:r>
                    </m:e>
                  </m:acc>
                </m:sub>
              </m:sSub>
            </m:den>
          </m:f>
          <m:nary>
            <m:naryPr>
              <m:chr m:val="∑"/>
              <m:limLoc m:val="undOvr"/>
              <m:subHide m:val="off"/>
              <m:supHide m:val="off"/>
            </m:naryPr>
            <m:sub>
              <m:r>
                <m:t>i</m:t>
              </m:r>
              <m:r>
                <m:rPr>
                  <m:sty m:val="p"/>
                </m:rPr>
                <m:t>=</m:t>
              </m:r>
              <m:r>
                <m:t>1</m:t>
              </m:r>
            </m:sub>
            <m:sup>
              <m:r>
                <m:t>n</m:t>
              </m:r>
            </m:sup>
            <m:e>
              <m:sSub>
                <m:e>
                  <m:r>
                    <m:t>ϕ</m:t>
                  </m:r>
                </m:e>
                <m:sub>
                  <m:r>
                    <m:t>i</m:t>
                  </m:r>
                  <m:r>
                    <m:t>k</m:t>
                  </m:r>
                </m:sub>
              </m:sSub>
            </m:e>
          </m:nary>
          <m:d>
            <m:dPr>
              <m:begChr m:val="("/>
              <m:sepChr m:val=""/>
              <m:endChr m:val=")"/>
              <m:grow/>
            </m:dPr>
            <m:e>
              <m:sSub>
                <m:e>
                  <m:r>
                    <m:t>R</m:t>
                  </m:r>
                </m:e>
                <m:sub>
                  <m:r>
                    <m:t>i</m:t>
                  </m:r>
                </m:sub>
              </m:sSub>
              <m:r>
                <m:rPr>
                  <m:sty m:val="p"/>
                </m:rPr>
                <m:t>−</m:t>
              </m:r>
              <m:f>
                <m:fPr>
                  <m:type m:val="bar"/>
                </m:fPr>
                <m:num>
                  <m:r>
                    <m:t>1</m:t>
                  </m:r>
                </m:num>
                <m:den>
                  <m:r>
                    <m:t>2</m:t>
                  </m:r>
                </m:den>
              </m:f>
            </m:e>
          </m:d>
          <m:r>
            <m:rPr>
              <m:sty m:val="p"/>
            </m:rPr>
            <m:t>.</m:t>
          </m:r>
        </m:oMath>
      </m:oMathPara>
    </w:p>
    <w:p>
      <w:pPr>
        <w:pStyle w:val="FirstParagraph"/>
      </w:pPr>
      <w:r>
        <w:t xml:space="preserve">Here, the contribution depends on how the SHAP value for determinant</w:t>
      </w:r>
      <w:r>
        <w:t xml:space="preserve"> </w:t>
      </w:r>
      <m:oMath>
        <m:r>
          <m:t>k</m:t>
        </m:r>
      </m:oMath>
      <w:r>
        <w:t xml:space="preserve"> </w:t>
      </w:r>
      <w:r>
        <w:t xml:space="preserve">varies across the socioeconomic ranking. This allows the role of a determinant to differ across children and subgroups. If rural residence matters more in some provinces than in others, or only when combined with other household disadvantages, that pattern is carried by the individual values</w:t>
      </w:r>
      <w:r>
        <w:t xml:space="preserve"> </w:t>
      </w:r>
      <m:oMath>
        <m:sSub>
          <m:e>
            <m:r>
              <m:t>ϕ</m:t>
            </m:r>
          </m:e>
          <m:sub>
            <m:r>
              <m:t>i</m:t>
            </m:r>
            <m:r>
              <m:t>k</m:t>
            </m:r>
          </m:sub>
        </m:sSub>
      </m:oMath>
      <w:r>
        <w:t xml:space="preserve"> </w:t>
      </w:r>
      <w:r>
        <w:t xml:space="preserve">rather than by a single global coefficient.</w:t>
      </w:r>
      <w:r>
        <w:t xml:space="preserve"> </w:t>
      </w:r>
      <w:r>
        <w:t xml:space="preserve">The SHAP decomposition applies to the model-fitted outcome, so it decomposes</w:t>
      </w:r>
      <w:r>
        <w:t xml:space="preserve"> </w:t>
      </w:r>
      <m:oMath>
        <m:sSub>
          <m:e>
            <m:r>
              <m:t>C</m:t>
            </m:r>
          </m:e>
          <m:sub>
            <m:acc>
              <m:accPr>
                <m:chr m:val="̂"/>
              </m:accPr>
              <m:e>
                <m:r>
                  <m:t>y</m:t>
                </m:r>
              </m:e>
            </m:acc>
          </m:sub>
        </m:sSub>
      </m:oMath>
      <w:r>
        <w:t xml:space="preserve"> </w:t>
      </w:r>
      <w:r>
        <w:t xml:space="preserve">rather than</w:t>
      </w:r>
      <w:r>
        <w:t xml:space="preserve"> </w:t>
      </w:r>
      <m:oMath>
        <m:sSub>
          <m:e>
            <m:r>
              <m:t>C</m:t>
            </m:r>
          </m:e>
          <m:sub>
            <m:r>
              <m:t>y</m:t>
            </m:r>
          </m:sub>
        </m:sSub>
      </m:oMath>
      <w:r>
        <w:t xml:space="preserve">. The observed outcome can still be written as the fitted value plus a residual:</w:t>
      </w:r>
    </w:p>
    <w:p>
      <w:pPr>
        <w:pStyle w:val="BodyText"/>
      </w:pPr>
      <m:oMathPara>
        <m:oMathParaPr>
          <m:jc m:val="center"/>
        </m:oMathParaPr>
        <m:oMath>
          <m:sSub>
            <m:e>
              <m:r>
                <m:t>y</m:t>
              </m:r>
            </m:e>
            <m:sub>
              <m:r>
                <m:t>i</m:t>
              </m:r>
            </m:sub>
          </m:sSub>
          <m:r>
            <m:rPr>
              <m:sty m:val="p"/>
            </m:rPr>
            <m:t>=</m:t>
          </m:r>
          <m:sSub>
            <m:e>
              <m:acc>
                <m:accPr>
                  <m:chr m:val="̂"/>
                </m:accPr>
                <m:e>
                  <m:r>
                    <m:t>y</m:t>
                  </m:r>
                </m:e>
              </m:acc>
            </m:e>
            <m:sub>
              <m:r>
                <m:t>i</m:t>
              </m:r>
            </m:sub>
          </m:sSub>
          <m:r>
            <m:rPr>
              <m:sty m:val="p"/>
            </m:rPr>
            <m:t>+</m:t>
          </m:r>
          <m:sSub>
            <m:e>
              <m:r>
                <m:t>e</m:t>
              </m:r>
            </m:e>
            <m:sub>
              <m:r>
                <m:t>i</m:t>
              </m:r>
            </m:sub>
          </m:sSub>
          <m:r>
            <m:rPr>
              <m:sty m:val="p"/>
            </m:rPr>
            <m:t>.</m:t>
          </m:r>
        </m:oMath>
      </m:oMathPara>
    </w:p>
    <w:p>
      <w:pPr>
        <w:pStyle w:val="FirstParagraph"/>
      </w:pPr>
      <w:r>
        <w:t xml:space="preserve">Using this identity, the concentration index of the observed outcome can be separated into the inequality explained by the fitted values and the inequality left in the residuals:</w:t>
      </w:r>
    </w:p>
    <w:p>
      <w:pPr>
        <w:pStyle w:val="BodyText"/>
      </w:pPr>
      <m:oMathPara>
        <m:oMathParaPr>
          <m:jc m:val="center"/>
        </m:oMathParaPr>
        <m:oMath>
          <m:sSub>
            <m:e>
              <m:r>
                <m:t>C</m:t>
              </m:r>
            </m:e>
            <m:sub>
              <m:r>
                <m:t>y</m:t>
              </m:r>
            </m:sub>
          </m:sSub>
          <m:r>
            <m:rPr>
              <m:sty m:val="p"/>
            </m:rPr>
            <m:t>=</m:t>
          </m:r>
          <m:f>
            <m:fPr>
              <m:type m:val="bar"/>
            </m:fPr>
            <m:num>
              <m:sSub>
                <m:e>
                  <m:r>
                    <m:t>μ</m:t>
                  </m:r>
                </m:e>
                <m:sub>
                  <m:acc>
                    <m:accPr>
                      <m:chr m:val="̂"/>
                    </m:accPr>
                    <m:e>
                      <m:r>
                        <m:t>y</m:t>
                      </m:r>
                    </m:e>
                  </m:acc>
                </m:sub>
              </m:sSub>
            </m:num>
            <m:den>
              <m:sSub>
                <m:e>
                  <m:r>
                    <m:t>μ</m:t>
                  </m:r>
                </m:e>
                <m:sub>
                  <m:r>
                    <m:t>y</m:t>
                  </m:r>
                </m:sub>
              </m:sSub>
            </m:den>
          </m:f>
          <m:sSub>
            <m:e>
              <m:r>
                <m:t>C</m:t>
              </m:r>
            </m:e>
            <m:sub>
              <m:acc>
                <m:accPr>
                  <m:chr m:val="̂"/>
                </m:accPr>
                <m:e>
                  <m:r>
                    <m:t>y</m:t>
                  </m:r>
                </m:e>
              </m:acc>
            </m:sub>
          </m:sSub>
          <m:r>
            <m:rPr>
              <m:sty m:val="p"/>
            </m:rPr>
            <m:t>+</m:t>
          </m:r>
          <m:f>
            <m:fPr>
              <m:type m:val="bar"/>
            </m:fPr>
            <m:num>
              <m:r>
                <m:t>2</m:t>
              </m:r>
            </m:num>
            <m:den>
              <m:r>
                <m:t>n</m:t>
              </m:r>
              <m:sSub>
                <m:e>
                  <m:r>
                    <m:t>μ</m:t>
                  </m:r>
                </m:e>
                <m:sub>
                  <m:r>
                    <m:t>y</m:t>
                  </m:r>
                </m:sub>
              </m:sSub>
            </m:den>
          </m:f>
          <m:nary>
            <m:naryPr>
              <m:chr m:val="∑"/>
              <m:limLoc m:val="undOvr"/>
              <m:subHide m:val="off"/>
              <m:supHide m:val="off"/>
            </m:naryPr>
            <m:sub>
              <m:r>
                <m:t>i</m:t>
              </m:r>
              <m:r>
                <m:rPr>
                  <m:sty m:val="p"/>
                </m:rPr>
                <m:t>=</m:t>
              </m:r>
              <m:r>
                <m:t>1</m:t>
              </m:r>
            </m:sub>
            <m:sup>
              <m:r>
                <m:t>n</m:t>
              </m:r>
            </m:sup>
            <m:e>
              <m:sSub>
                <m:e>
                  <m:r>
                    <m:t>e</m:t>
                  </m:r>
                </m:e>
                <m:sub>
                  <m:r>
                    <m:t>i</m:t>
                  </m:r>
                </m:sub>
              </m:sSub>
            </m:e>
          </m:nary>
          <m:d>
            <m:dPr>
              <m:begChr m:val="("/>
              <m:sepChr m:val=""/>
              <m:endChr m:val=")"/>
              <m:grow/>
            </m:dPr>
            <m:e>
              <m:sSub>
                <m:e>
                  <m:r>
                    <m:t>R</m:t>
                  </m:r>
                </m:e>
                <m:sub>
                  <m:r>
                    <m:t>i</m:t>
                  </m:r>
                </m:sub>
              </m:sSub>
              <m:r>
                <m:rPr>
                  <m:sty m:val="p"/>
                </m:rPr>
                <m:t>−</m:t>
              </m:r>
              <m:f>
                <m:fPr>
                  <m:type m:val="bar"/>
                </m:fPr>
                <m:num>
                  <m:r>
                    <m:t>1</m:t>
                  </m:r>
                </m:num>
                <m:den>
                  <m:r>
                    <m:t>2</m:t>
                  </m:r>
                </m:den>
              </m:f>
            </m:e>
          </m:d>
          <m:r>
            <m:rPr>
              <m:sty m:val="p"/>
            </m:rPr>
            <m:t>.</m:t>
          </m:r>
        </m:oMath>
      </m:oMathPara>
    </w:p>
    <w:p>
      <w:pPr>
        <w:pStyle w:val="FirstParagraph"/>
      </w:pPr>
      <w:r>
        <w:t xml:space="preserve">where</w:t>
      </w:r>
      <w:r>
        <w:t xml:space="preserve"> </w:t>
      </w:r>
      <m:oMath>
        <m:sSub>
          <m:e>
            <m:r>
              <m:t>C</m:t>
            </m:r>
          </m:e>
          <m:sub>
            <m:r>
              <m:t>y</m:t>
            </m:r>
          </m:sub>
        </m:sSub>
      </m:oMath>
      <w:r>
        <w:t xml:space="preserve"> </w:t>
      </w:r>
      <w:r>
        <w:t xml:space="preserve">is the concentration index of the observed outcome,</w:t>
      </w:r>
      <w:r>
        <w:t xml:space="preserve"> </w:t>
      </w:r>
      <m:oMath>
        <m:sSub>
          <m:e>
            <m:r>
              <m:t>C</m:t>
            </m:r>
          </m:e>
          <m:sub>
            <m:acc>
              <m:accPr>
                <m:chr m:val="̂"/>
              </m:accPr>
              <m:e>
                <m:r>
                  <m:t>y</m:t>
                </m:r>
              </m:e>
            </m:acc>
          </m:sub>
        </m:sSub>
      </m:oMath>
      <w:r>
        <w:t xml:space="preserve"> </w:t>
      </w:r>
      <w:r>
        <w:t xml:space="preserve">is the concentration index of the fitted values,</w:t>
      </w:r>
      <w:r>
        <w:t xml:space="preserve"> </w:t>
      </w:r>
      <m:oMath>
        <m:sSub>
          <m:e>
            <m:r>
              <m:t>μ</m:t>
            </m:r>
          </m:e>
          <m:sub>
            <m:r>
              <m:t>y</m:t>
            </m:r>
          </m:sub>
        </m:sSub>
      </m:oMath>
      <w:r>
        <w:t xml:space="preserve"> </w:t>
      </w:r>
      <w:r>
        <w:t xml:space="preserve">and</w:t>
      </w:r>
      <w:r>
        <w:t xml:space="preserve"> </w:t>
      </w:r>
      <m:oMath>
        <m:sSub>
          <m:e>
            <m:r>
              <m:t>μ</m:t>
            </m:r>
          </m:e>
          <m:sub>
            <m:acc>
              <m:accPr>
                <m:chr m:val="̂"/>
              </m:accPr>
              <m:e>
                <m:r>
                  <m:t>y</m:t>
                </m:r>
              </m:e>
            </m:acc>
          </m:sub>
        </m:sSub>
      </m:oMath>
      <w:r>
        <w:t xml:space="preserve"> </w:t>
      </w:r>
      <w:r>
        <w:t xml:space="preserve">are their means, and</w:t>
      </w:r>
      <w:r>
        <w:t xml:space="preserve"> </w:t>
      </w:r>
      <m:oMath>
        <m:sSub>
          <m:e>
            <m:r>
              <m:t>e</m:t>
            </m:r>
          </m:e>
          <m:sub>
            <m:r>
              <m:t>i</m:t>
            </m:r>
          </m:sub>
        </m:sSub>
        <m:r>
          <m:rPr>
            <m:sty m:val="p"/>
          </m:rPr>
          <m:t>=</m:t>
        </m:r>
        <m:sSub>
          <m:e>
            <m:r>
              <m:t>y</m:t>
            </m:r>
          </m:e>
          <m:sub>
            <m:r>
              <m:t>i</m:t>
            </m:r>
          </m:sub>
        </m:sSub>
        <m:r>
          <m:rPr>
            <m:sty m:val="p"/>
          </m:rPr>
          <m:t>−</m:t>
        </m:r>
        <m:sSub>
          <m:e>
            <m:acc>
              <m:accPr>
                <m:chr m:val="̂"/>
              </m:accPr>
              <m:e>
                <m:r>
                  <m:t>y</m:t>
                </m:r>
              </m:e>
            </m:acc>
          </m:e>
          <m:sub>
            <m:r>
              <m:t>i</m:t>
            </m:r>
          </m:sub>
        </m:sSub>
      </m:oMath>
      <w:r>
        <w:t xml:space="preserve">. The second term is the residual inequality not captured by the fitted tree-based model.</w:t>
      </w:r>
    </w:p>
    <w:bookmarkEnd w:id="42"/>
    <w:bookmarkStart w:id="43" w:name="sec-equivalence-linearity"/>
    <w:p>
      <w:pPr>
        <w:pStyle w:val="Heading3"/>
      </w:pPr>
      <w:r>
        <w:t xml:space="preserve">Equivalence under Linearity</w:t>
      </w:r>
    </w:p>
    <w:p>
      <w:pPr>
        <w:pStyle w:val="FirstParagraph"/>
      </w:pPr>
      <w:r>
        <w:t xml:space="preserve">Next we test whether SHAP decomposition extension safely reduces to the classical linear framework when the underlying model is structurally linear, we consider a linear regression model:</w:t>
      </w:r>
    </w:p>
    <w:p>
      <w:pPr>
        <w:pStyle w:val="BodyText"/>
      </w:pPr>
      <m:oMathPara>
        <m:oMathParaPr>
          <m:jc m:val="center"/>
        </m:oMathParaPr>
        <m:oMath>
          <m:sSub>
            <m:e>
              <m:acc>
                <m:accPr>
                  <m:chr m:val="̂"/>
                </m:accPr>
                <m:e>
                  <m:r>
                    <m:t>y</m:t>
                  </m:r>
                </m:e>
              </m:acc>
            </m:e>
            <m:sub>
              <m:r>
                <m:t>i</m:t>
              </m:r>
            </m:sub>
          </m:sSub>
          <m:r>
            <m:rPr>
              <m:sty m:val="p"/>
            </m:rPr>
            <m:t>=</m:t>
          </m:r>
          <m:sSub>
            <m:e>
              <m:acc>
                <m:accPr>
                  <m:chr m:val="̂"/>
                </m:accPr>
                <m:e>
                  <m:r>
                    <m:t>β</m:t>
                  </m:r>
                </m:e>
              </m:acc>
            </m:e>
            <m:sub>
              <m:r>
                <m:t>0</m:t>
              </m:r>
            </m:sub>
          </m:sSub>
          <m:r>
            <m:rPr>
              <m:sty m:val="p"/>
            </m:rPr>
            <m:t>+</m:t>
          </m:r>
          <m:nary>
            <m:naryPr>
              <m:chr m:val="∑"/>
              <m:limLoc m:val="undOvr"/>
              <m:subHide m:val="off"/>
              <m:supHide m:val="off"/>
            </m:naryPr>
            <m:sub>
              <m:r>
                <m:t>k</m:t>
              </m:r>
              <m:r>
                <m:rPr>
                  <m:sty m:val="p"/>
                </m:rPr>
                <m:t>=</m:t>
              </m:r>
              <m:r>
                <m:t>1</m:t>
              </m:r>
            </m:sub>
            <m:sup>
              <m:r>
                <m:t>K</m:t>
              </m:r>
            </m:sup>
            <m:e>
              <m:sSub>
                <m:e>
                  <m:acc>
                    <m:accPr>
                      <m:chr m:val="̂"/>
                    </m:accPr>
                    <m:e>
                      <m:r>
                        <m:t>β</m:t>
                      </m:r>
                    </m:e>
                  </m:acc>
                </m:e>
                <m:sub>
                  <m:r>
                    <m:t>k</m:t>
                  </m:r>
                </m:sub>
              </m:sSub>
            </m:e>
          </m:nary>
          <m:sSub>
            <m:e>
              <m:r>
                <m:t>x</m:t>
              </m:r>
            </m:e>
            <m:sub>
              <m:r>
                <m:t>k</m:t>
              </m:r>
              <m:r>
                <m:t>i</m:t>
              </m:r>
            </m:sub>
          </m:sSub>
          <m:r>
            <m:rPr>
              <m:sty m:val="p"/>
            </m:rPr>
            <m:t>.</m:t>
          </m:r>
        </m:oMath>
      </m:oMathPara>
    </w:p>
    <w:p>
      <w:pPr>
        <w:pStyle w:val="FirstParagraph"/>
      </w:pPr>
      <w:r>
        <w:t xml:space="preserve">According to the mathematical properties of Shapley values, under a purely linear data-generating process, the SHAP value for a given feature</w:t>
      </w:r>
      <w:r>
        <w:t xml:space="preserve"> </w:t>
      </w:r>
      <m:oMath>
        <m:r>
          <m:t>k</m:t>
        </m:r>
      </m:oMath>
      <w:r>
        <w:t xml:space="preserve"> </w:t>
      </w:r>
      <w:r>
        <w:t xml:space="preserve">and individual</w:t>
      </w:r>
      <w:r>
        <w:t xml:space="preserve"> </w:t>
      </w:r>
      <m:oMath>
        <m:r>
          <m:t>i</m:t>
        </m:r>
      </m:oMath>
      <w:r>
        <w:t xml:space="preserve"> </w:t>
      </w:r>
      <w:r>
        <w:t xml:space="preserve">perfectly simplifies to the estimated coefficient multiplied by the mean-centred covariate</w:t>
      </w:r>
      <w:r>
        <w:t xml:space="preserve"> </w:t>
      </w:r>
      <w:r>
        <w:t xml:space="preserve">(</w:t>
      </w:r>
      <w:hyperlink w:anchor="ref-lundberg2017unified">
        <w:r>
          <w:rPr>
            <w:rStyle w:val="Hyperlink"/>
          </w:rPr>
          <w:t xml:space="preserve">Lundberg and Lee, 2017</w:t>
        </w:r>
      </w:hyperlink>
      <w:r>
        <w:t xml:space="preserve">)</w:t>
      </w:r>
    </w:p>
    <w:p>
      <w:pPr>
        <w:pStyle w:val="BodyText"/>
      </w:pPr>
      <m:oMathPara>
        <m:oMathParaPr>
          <m:jc m:val="center"/>
        </m:oMathParaPr>
        <m:oMath>
          <m:sSub>
            <m:e>
              <m:r>
                <m:t>ϕ</m:t>
              </m:r>
            </m:e>
            <m:sub>
              <m:r>
                <m:t>i</m:t>
              </m:r>
              <m:r>
                <m:t>k</m:t>
              </m:r>
            </m:sub>
          </m:sSub>
          <m:r>
            <m:rPr>
              <m:sty m:val="p"/>
            </m:rPr>
            <m:t>=</m:t>
          </m:r>
          <m:sSub>
            <m:e>
              <m:acc>
                <m:accPr>
                  <m:chr m:val="̂"/>
                </m:accPr>
                <m:e>
                  <m:r>
                    <m:t>β</m:t>
                  </m:r>
                </m:e>
              </m:acc>
            </m:e>
            <m:sub>
              <m:r>
                <m:t>k</m:t>
              </m:r>
            </m:sub>
          </m:sSub>
          <m:r>
            <m:rPr>
              <m:sty m:val="p"/>
            </m:rPr>
            <m:t>(</m:t>
          </m:r>
          <m:sSub>
            <m:e>
              <m:r>
                <m:t>x</m:t>
              </m:r>
            </m:e>
            <m:sub>
              <m:r>
                <m:t>k</m:t>
              </m:r>
              <m:r>
                <m:t>i</m:t>
              </m:r>
            </m:sub>
          </m:sSub>
          <m:r>
            <m:rPr>
              <m:sty m:val="p"/>
            </m:rPr>
            <m:t>−</m:t>
          </m:r>
          <m:sSub>
            <m:e>
              <m:acc>
                <m:accPr>
                  <m:chr m:val="‾"/>
                </m:accPr>
                <m:e>
                  <m:r>
                    <m:t>x</m:t>
                  </m:r>
                </m:e>
              </m:acc>
            </m:e>
            <m:sub>
              <m:r>
                <m:t>k</m:t>
              </m:r>
            </m:sub>
          </m:sSub>
          <m:r>
            <m:rPr>
              <m:sty m:val="p"/>
            </m:rPr>
            <m:t>)</m:t>
          </m:r>
          <m:r>
            <m:rPr>
              <m:sty m:val="p"/>
            </m:rPr>
            <m:t>.</m:t>
          </m:r>
        </m:oMath>
      </m:oMathPara>
    </w:p>
    <w:p>
      <w:pPr>
        <w:pStyle w:val="FirstParagraph"/>
      </w:pPr>
      <w:r>
        <w:t xml:space="preserve">also, the baseline SHAP value</w:t>
      </w:r>
      <w:r>
        <w:t xml:space="preserve"> </w:t>
      </w:r>
      <m:oMath>
        <m:sSub>
          <m:e>
            <m:r>
              <m:t>ϕ</m:t>
            </m:r>
          </m:e>
          <m:sub>
            <m:r>
              <m:t>0</m:t>
            </m:r>
          </m:sub>
        </m:sSub>
      </m:oMath>
      <w:r>
        <w:t xml:space="preserve"> </w:t>
      </w:r>
      <w:r>
        <w:t xml:space="preserve">defaults exactly to the sample mean of the predictions,</w:t>
      </w:r>
      <w:r>
        <w:t xml:space="preserve"> </w:t>
      </w:r>
      <m:oMath>
        <m:sSub>
          <m:e>
            <m:r>
              <m:t>μ</m:t>
            </m:r>
          </m:e>
          <m:sub>
            <m:acc>
              <m:accPr>
                <m:chr m:val="̂"/>
              </m:accPr>
              <m:e>
                <m:r>
                  <m:t>y</m:t>
                </m:r>
              </m:e>
            </m:acc>
          </m:sub>
        </m:sSub>
      </m:oMath>
      <w:r>
        <w:t xml:space="preserve">.</w:t>
      </w:r>
    </w:p>
    <w:p>
      <w:pPr>
        <w:pStyle w:val="BodyText"/>
      </w:pPr>
      <w:r>
        <w:t xml:space="preserve">Substitute this linear SHAP identity back into our proposed tree-based decomposition formula for the absolute contribution:</w:t>
      </w:r>
    </w:p>
    <w:p>
      <w:pPr>
        <w:pStyle w:val="BodyText"/>
      </w:pPr>
      <m:oMathPara>
        <m:oMathParaPr>
          <m:jc m:val="center"/>
        </m:oMathParaPr>
        <m:oMath>
          <m:sSubSup>
            <m:e>
              <m:r>
                <m:t>D</m:t>
              </m:r>
            </m:e>
            <m:sub>
              <m:r>
                <m:t>k</m:t>
              </m:r>
            </m:sub>
            <m:sup>
              <m:r>
                <m:rPr>
                  <m:nor/>
                  <m:sty m:val="p"/>
                </m:rPr>
                <m:t>SHAP</m:t>
              </m:r>
            </m:sup>
          </m:sSubSup>
          <m:r>
            <m:rPr>
              <m:sty m:val="p"/>
            </m:rPr>
            <m:t>=</m:t>
          </m:r>
          <m:f>
            <m:fPr>
              <m:type m:val="bar"/>
            </m:fPr>
            <m:num>
              <m:r>
                <m:t>2</m:t>
              </m:r>
            </m:num>
            <m:den>
              <m:r>
                <m:t>n</m:t>
              </m:r>
              <m:sSub>
                <m:e>
                  <m:r>
                    <m:t>μ</m:t>
                  </m:r>
                </m:e>
                <m:sub>
                  <m:acc>
                    <m:accPr>
                      <m:chr m:val="̂"/>
                    </m:accPr>
                    <m:e>
                      <m:r>
                        <m:t>y</m:t>
                      </m:r>
                    </m:e>
                  </m:acc>
                </m:sub>
              </m:sSub>
            </m:den>
          </m:f>
          <m:nary>
            <m:naryPr>
              <m:chr m:val="∑"/>
              <m:limLoc m:val="undOvr"/>
              <m:subHide m:val="off"/>
              <m:supHide m:val="off"/>
            </m:naryPr>
            <m:sub>
              <m:r>
                <m:t>i</m:t>
              </m:r>
              <m:r>
                <m:rPr>
                  <m:sty m:val="p"/>
                </m:rPr>
                <m:t>=</m:t>
              </m:r>
              <m:r>
                <m:t>1</m:t>
              </m:r>
            </m:sub>
            <m:sup>
              <m:r>
                <m:t>n</m:t>
              </m:r>
            </m:sup>
            <m:e>
              <m:sSub>
                <m:e>
                  <m:r>
                    <m:t>ϕ</m:t>
                  </m:r>
                </m:e>
                <m:sub>
                  <m:r>
                    <m:t>i</m:t>
                  </m:r>
                  <m:r>
                    <m:t>k</m:t>
                  </m:r>
                </m:sub>
              </m:sSub>
            </m:e>
          </m:nary>
          <m:d>
            <m:dPr>
              <m:begChr m:val="("/>
              <m:sepChr m:val=""/>
              <m:endChr m:val=")"/>
              <m:grow/>
            </m:dPr>
            <m:e>
              <m:sSub>
                <m:e>
                  <m:r>
                    <m:t>R</m:t>
                  </m:r>
                </m:e>
                <m:sub>
                  <m:r>
                    <m:t>i</m:t>
                  </m:r>
                </m:sub>
              </m:sSub>
              <m:r>
                <m:rPr>
                  <m:sty m:val="p"/>
                </m:rPr>
                <m:t>−</m:t>
              </m:r>
              <m:f>
                <m:fPr>
                  <m:type m:val="bar"/>
                </m:fPr>
                <m:num>
                  <m:r>
                    <m:t>1</m:t>
                  </m:r>
                </m:num>
                <m:den>
                  <m:r>
                    <m:t>2</m:t>
                  </m:r>
                </m:den>
              </m:f>
            </m:e>
          </m:d>
          <m:r>
            <m:rPr>
              <m:sty m:val="p"/>
            </m:rPr>
            <m:t>.</m:t>
          </m:r>
        </m:oMath>
      </m:oMathPara>
    </w:p>
    <w:p>
      <w:pPr>
        <w:pStyle w:val="FirstParagraph"/>
      </w:pPr>
      <m:oMathPara>
        <m:oMathParaPr>
          <m:jc m:val="center"/>
        </m:oMathParaPr>
        <m:oMath>
          <m:sSubSup>
            <m:e>
              <m:r>
                <m:t>D</m:t>
              </m:r>
            </m:e>
            <m:sub>
              <m:r>
                <m:t>k</m:t>
              </m:r>
            </m:sub>
            <m:sup>
              <m:r>
                <m:rPr>
                  <m:nor/>
                  <m:sty m:val="p"/>
                </m:rPr>
                <m:t>SHAP</m:t>
              </m:r>
            </m:sup>
          </m:sSubSup>
          <m:r>
            <m:rPr>
              <m:sty m:val="p"/>
            </m:rPr>
            <m:t>=</m:t>
          </m:r>
          <m:f>
            <m:fPr>
              <m:type m:val="bar"/>
            </m:fPr>
            <m:num>
              <m:r>
                <m:t>2</m:t>
              </m:r>
            </m:num>
            <m:den>
              <m:r>
                <m:t>n</m:t>
              </m:r>
              <m:sSub>
                <m:e>
                  <m:r>
                    <m:t>μ</m:t>
                  </m:r>
                </m:e>
                <m:sub>
                  <m:acc>
                    <m:accPr>
                      <m:chr m:val="̂"/>
                    </m:accPr>
                    <m:e>
                      <m:r>
                        <m:t>y</m:t>
                      </m:r>
                    </m:e>
                  </m:acc>
                </m:sub>
              </m:sSub>
            </m:den>
          </m:f>
          <m:nary>
            <m:naryPr>
              <m:chr m:val="∑"/>
              <m:limLoc m:val="undOvr"/>
              <m:subHide m:val="off"/>
              <m:supHide m:val="off"/>
            </m:naryPr>
            <m:sub>
              <m:r>
                <m:t>i</m:t>
              </m:r>
              <m:r>
                <m:rPr>
                  <m:sty m:val="p"/>
                </m:rPr>
                <m:t>=</m:t>
              </m:r>
              <m:r>
                <m:t>1</m:t>
              </m:r>
            </m:sub>
            <m:sup>
              <m:r>
                <m:t>n</m:t>
              </m:r>
            </m:sup>
            <m:e>
              <m:d>
                <m:dPr>
                  <m:begChr m:val="["/>
                  <m:sepChr m:val=""/>
                  <m:endChr m:val="]"/>
                  <m:grow/>
                </m:dPr>
                <m:e>
                  <m:sSub>
                    <m:e>
                      <m:acc>
                        <m:accPr>
                          <m:chr m:val="̂"/>
                        </m:accPr>
                        <m:e>
                          <m:r>
                            <m:t>β</m:t>
                          </m:r>
                        </m:e>
                      </m:acc>
                    </m:e>
                    <m:sub>
                      <m:r>
                        <m:t>k</m:t>
                      </m:r>
                    </m:sub>
                  </m:sSub>
                  <m:r>
                    <m:rPr>
                      <m:sty m:val="p"/>
                    </m:rPr>
                    <m:t>(</m:t>
                  </m:r>
                  <m:sSub>
                    <m:e>
                      <m:r>
                        <m:t>x</m:t>
                      </m:r>
                    </m:e>
                    <m:sub>
                      <m:r>
                        <m:t>k</m:t>
                      </m:r>
                      <m:r>
                        <m:t>i</m:t>
                      </m:r>
                    </m:sub>
                  </m:sSub>
                  <m:r>
                    <m:rPr>
                      <m:sty m:val="p"/>
                    </m:rPr>
                    <m:t>−</m:t>
                  </m:r>
                  <m:sSub>
                    <m:e>
                      <m:acc>
                        <m:accPr>
                          <m:chr m:val="‾"/>
                        </m:accPr>
                        <m:e>
                          <m:r>
                            <m:t>x</m:t>
                          </m:r>
                        </m:e>
                      </m:acc>
                    </m:e>
                    <m:sub>
                      <m:r>
                        <m:t>k</m:t>
                      </m:r>
                    </m:sub>
                  </m:sSub>
                  <m:r>
                    <m:rPr>
                      <m:sty m:val="p"/>
                    </m:rPr>
                    <m:t>)</m:t>
                  </m:r>
                </m:e>
              </m:d>
            </m:e>
          </m:nary>
          <m:d>
            <m:dPr>
              <m:begChr m:val="("/>
              <m:sepChr m:val=""/>
              <m:endChr m:val=")"/>
              <m:grow/>
            </m:dPr>
            <m:e>
              <m:sSub>
                <m:e>
                  <m:r>
                    <m:t>R</m:t>
                  </m:r>
                </m:e>
                <m:sub>
                  <m:r>
                    <m:t>i</m:t>
                  </m:r>
                </m:sub>
              </m:sSub>
              <m:r>
                <m:rPr>
                  <m:sty m:val="p"/>
                </m:rPr>
                <m:t>−</m:t>
              </m:r>
              <m:f>
                <m:fPr>
                  <m:type m:val="bar"/>
                </m:fPr>
                <m:num>
                  <m:r>
                    <m:t>1</m:t>
                  </m:r>
                </m:num>
                <m:den>
                  <m:r>
                    <m:t>2</m:t>
                  </m:r>
                </m:den>
              </m:f>
            </m:e>
          </m:d>
          <m:r>
            <m:rPr>
              <m:sty m:val="p"/>
            </m:rPr>
            <m:t>.</m:t>
          </m:r>
        </m:oMath>
      </m:oMathPara>
    </w:p>
    <w:p>
      <w:pPr>
        <w:pStyle w:val="FirstParagraph"/>
      </w:pPr>
      <w:r>
        <w:t xml:space="preserve">Because</w:t>
      </w:r>
      <w:r>
        <w:t xml:space="preserve"> </w:t>
      </w:r>
      <m:oMath>
        <m:sSub>
          <m:e>
            <m:acc>
              <m:accPr>
                <m:chr m:val="‾"/>
              </m:accPr>
              <m:e>
                <m:r>
                  <m:t>x</m:t>
                </m:r>
              </m:e>
            </m:acc>
          </m:e>
          <m:sub>
            <m:r>
              <m:t>k</m:t>
            </m:r>
          </m:sub>
        </m:sSub>
      </m:oMath>
      <w:r>
        <w:t xml:space="preserve"> </w:t>
      </w:r>
      <w:r>
        <w:t xml:space="preserve">is a constant and</w:t>
      </w:r>
      <w:r>
        <w:t xml:space="preserve"> </w:t>
      </w:r>
      <m:oMath>
        <m:nary>
          <m:naryPr>
            <m:chr m:val="∑"/>
            <m:limLoc m:val="undOvr"/>
            <m:subHide m:val="off"/>
            <m:supHide m:val="off"/>
          </m:naryPr>
          <m:sub>
            <m:r>
              <m:t>i</m:t>
            </m:r>
            <m:r>
              <m:rPr>
                <m:sty m:val="p"/>
              </m:rPr>
              <m:t>=</m:t>
            </m:r>
            <m:r>
              <m:t>1</m:t>
            </m:r>
          </m:sub>
          <m:sup>
            <m:r>
              <m:t>n</m:t>
            </m:r>
          </m:sup>
          <m:e>
            <m:r>
              <m:rPr>
                <m:sty m:val="p"/>
              </m:rPr>
              <m:t>(</m:t>
            </m:r>
          </m:e>
        </m:nary>
        <m:sSub>
          <m:e>
            <m:r>
              <m:t>R</m:t>
            </m:r>
          </m:e>
          <m:sub>
            <m:r>
              <m:t>i</m:t>
            </m:r>
          </m:sub>
        </m:sSub>
        <m:r>
          <m:rPr>
            <m:sty m:val="p"/>
          </m:rPr>
          <m:t>−</m:t>
        </m:r>
        <m:f>
          <m:fPr>
            <m:type m:val="bar"/>
          </m:fPr>
          <m:num>
            <m:r>
              <m:t>1</m:t>
            </m:r>
          </m:num>
          <m:den>
            <m:r>
              <m:t>2</m:t>
            </m:r>
          </m:den>
        </m:f>
        <m:r>
          <m:rPr>
            <m:sty m:val="p"/>
          </m:rPr>
          <m:t>)</m:t>
        </m:r>
        <m:r>
          <m:rPr>
            <m:sty m:val="p"/>
          </m:rPr>
          <m:t>=</m:t>
        </m:r>
        <m:r>
          <m:t>0</m:t>
        </m:r>
      </m:oMath>
      <w:r>
        <w:t xml:space="preserve">, the mean-centering term drops out of the summation:</w:t>
      </w:r>
    </w:p>
    <w:p>
      <w:pPr>
        <w:pStyle w:val="BodyText"/>
      </w:pPr>
      <m:oMathPara>
        <m:oMathParaPr>
          <m:jc m:val="center"/>
        </m:oMathParaPr>
        <m:oMath>
          <m:sSubSup>
            <m:e>
              <m:r>
                <m:t>D</m:t>
              </m:r>
            </m:e>
            <m:sub>
              <m:r>
                <m:t>k</m:t>
              </m:r>
            </m:sub>
            <m:sup>
              <m:r>
                <m:rPr>
                  <m:nor/>
                  <m:sty m:val="p"/>
                </m:rPr>
                <m:t>SHAP</m:t>
              </m:r>
            </m:sup>
          </m:sSubSup>
          <m:r>
            <m:rPr>
              <m:sty m:val="p"/>
            </m:rPr>
            <m:t>=</m:t>
          </m:r>
          <m:sSub>
            <m:e>
              <m:acc>
                <m:accPr>
                  <m:chr m:val="̂"/>
                </m:accPr>
                <m:e>
                  <m:r>
                    <m:t>β</m:t>
                  </m:r>
                </m:e>
              </m:acc>
            </m:e>
            <m:sub>
              <m:r>
                <m:t>k</m:t>
              </m:r>
            </m:sub>
          </m:sSub>
          <m:d>
            <m:dPr>
              <m:begChr m:val="["/>
              <m:sepChr m:val=""/>
              <m:endChr m:val="]"/>
              <m:grow/>
            </m:dPr>
            <m:e>
              <m:f>
                <m:fPr>
                  <m:type m:val="bar"/>
                </m:fPr>
                <m:num>
                  <m:r>
                    <m:t>2</m:t>
                  </m:r>
                </m:num>
                <m:den>
                  <m:r>
                    <m:t>n</m:t>
                  </m:r>
                  <m:sSub>
                    <m:e>
                      <m:r>
                        <m:t>μ</m:t>
                      </m:r>
                    </m:e>
                    <m:sub>
                      <m:acc>
                        <m:accPr>
                          <m:chr m:val="̂"/>
                        </m:accPr>
                        <m:e>
                          <m:r>
                            <m:t>y</m:t>
                          </m:r>
                        </m:e>
                      </m:acc>
                    </m:sub>
                  </m:sSub>
                </m:den>
              </m:f>
              <m:nary>
                <m:naryPr>
                  <m:chr m:val="∑"/>
                  <m:limLoc m:val="undOvr"/>
                  <m:subHide m:val="off"/>
                  <m:supHide m:val="off"/>
                </m:naryPr>
                <m:sub>
                  <m:r>
                    <m:t>i</m:t>
                  </m:r>
                  <m:r>
                    <m:rPr>
                      <m:sty m:val="p"/>
                    </m:rPr>
                    <m:t>=</m:t>
                  </m:r>
                  <m:r>
                    <m:t>1</m:t>
                  </m:r>
                </m:sub>
                <m:sup>
                  <m:r>
                    <m:t>n</m:t>
                  </m:r>
                </m:sup>
                <m:e>
                  <m:sSub>
                    <m:e>
                      <m:r>
                        <m:t>x</m:t>
                      </m:r>
                    </m:e>
                    <m:sub>
                      <m:r>
                        <m:t>k</m:t>
                      </m:r>
                      <m:r>
                        <m:t>i</m:t>
                      </m:r>
                    </m:sub>
                  </m:sSub>
                </m:e>
              </m:nary>
              <m:d>
                <m:dPr>
                  <m:begChr m:val="("/>
                  <m:sepChr m:val=""/>
                  <m:endChr m:val=")"/>
                  <m:grow/>
                </m:dPr>
                <m:e>
                  <m:sSub>
                    <m:e>
                      <m:r>
                        <m:t>R</m:t>
                      </m:r>
                    </m:e>
                    <m:sub>
                      <m:r>
                        <m:t>i</m:t>
                      </m:r>
                    </m:sub>
                  </m:sSub>
                  <m:r>
                    <m:rPr>
                      <m:sty m:val="p"/>
                    </m:rPr>
                    <m:t>−</m:t>
                  </m:r>
                  <m:f>
                    <m:fPr>
                      <m:type m:val="bar"/>
                    </m:fPr>
                    <m:num>
                      <m:r>
                        <m:t>1</m:t>
                      </m:r>
                    </m:num>
                    <m:den>
                      <m:r>
                        <m:t>2</m:t>
                      </m:r>
                    </m:den>
                  </m:f>
                </m:e>
              </m:d>
            </m:e>
          </m:d>
          <m:r>
            <m:rPr>
              <m:sty m:val="p"/>
            </m:rPr>
            <m:t>.</m:t>
          </m:r>
        </m:oMath>
      </m:oMathPara>
    </w:p>
    <w:p>
      <w:pPr>
        <w:pStyle w:val="FirstParagraph"/>
      </w:pPr>
      <w:r>
        <w:t xml:space="preserve">By definition, the concentration index of determinant</w:t>
      </w:r>
      <w:r>
        <w:t xml:space="preserve"> </w:t>
      </w:r>
      <m:oMath>
        <m:r>
          <m:t>k</m:t>
        </m:r>
      </m:oMath>
      <w:r>
        <w:t xml:space="preserve"> </w:t>
      </w:r>
      <w:r>
        <w:t xml:space="preserve">is</w:t>
      </w:r>
      <w:r>
        <w:t xml:space="preserve"> </w:t>
      </w:r>
      <m:oMath>
        <m:sSub>
          <m:e>
            <m:r>
              <m:t>C</m:t>
            </m:r>
          </m:e>
          <m:sub>
            <m:r>
              <m:t>k</m:t>
            </m:r>
          </m:sub>
        </m:sSub>
        <m:r>
          <m:rPr>
            <m:sty m:val="p"/>
          </m:rPr>
          <m:t>=</m:t>
        </m:r>
        <m:f>
          <m:fPr>
            <m:type m:val="bar"/>
          </m:fPr>
          <m:num>
            <m:r>
              <m:t>2</m:t>
            </m:r>
          </m:num>
          <m:den>
            <m:r>
              <m:t>n</m:t>
            </m:r>
            <m:sSub>
              <m:e>
                <m:acc>
                  <m:accPr>
                    <m:chr m:val="‾"/>
                  </m:accPr>
                  <m:e>
                    <m:r>
                      <m:t>x</m:t>
                    </m:r>
                  </m:e>
                </m:acc>
              </m:e>
              <m:sub>
                <m:r>
                  <m:t>k</m:t>
                </m:r>
              </m:sub>
            </m:sSub>
          </m:den>
        </m:f>
        <m:nary>
          <m:naryPr>
            <m:chr m:val="∑"/>
            <m:limLoc m:val="undOvr"/>
            <m:subHide m:val="off"/>
            <m:supHide m:val="off"/>
          </m:naryPr>
          <m:sub>
            <m:r>
              <m:t>i</m:t>
            </m:r>
            <m:r>
              <m:rPr>
                <m:sty m:val="p"/>
              </m:rPr>
              <m:t>=</m:t>
            </m:r>
            <m:r>
              <m:t>1</m:t>
            </m:r>
          </m:sub>
          <m:sup>
            <m:r>
              <m:t>n</m:t>
            </m:r>
          </m:sup>
          <m:e>
            <m:sSub>
              <m:e>
                <m:r>
                  <m:t>x</m:t>
                </m:r>
              </m:e>
              <m:sub>
                <m:r>
                  <m:t>k</m:t>
                </m:r>
                <m:r>
                  <m:t>i</m:t>
                </m:r>
              </m:sub>
            </m:sSub>
          </m:e>
        </m:nary>
        <m:r>
          <m:rPr>
            <m:sty m:val="p"/>
          </m:rPr>
          <m:t>(</m:t>
        </m:r>
        <m:sSub>
          <m:e>
            <m:r>
              <m:t>R</m:t>
            </m:r>
          </m:e>
          <m:sub>
            <m:r>
              <m:t>i</m:t>
            </m:r>
          </m:sub>
        </m:sSub>
        <m:r>
          <m:rPr>
            <m:sty m:val="p"/>
          </m:rPr>
          <m:t>−</m:t>
        </m:r>
        <m:f>
          <m:fPr>
            <m:type m:val="bar"/>
          </m:fPr>
          <m:num>
            <m:r>
              <m:t>1</m:t>
            </m:r>
          </m:num>
          <m:den>
            <m:r>
              <m:t>2</m:t>
            </m:r>
          </m:den>
        </m:f>
        <m:r>
          <m:rPr>
            <m:sty m:val="p"/>
          </m:rPr>
          <m:t>)</m:t>
        </m:r>
      </m:oMath>
      <w:r>
        <w:t xml:space="preserve">. Multiplying and dividing by</w:t>
      </w:r>
      <w:r>
        <w:t xml:space="preserve"> </w:t>
      </w:r>
      <m:oMath>
        <m:sSub>
          <m:e>
            <m:acc>
              <m:accPr>
                <m:chr m:val="‾"/>
              </m:accPr>
              <m:e>
                <m:r>
                  <m:t>x</m:t>
                </m:r>
              </m:e>
            </m:acc>
          </m:e>
          <m:sub>
            <m:r>
              <m:t>k</m:t>
            </m:r>
          </m:sub>
        </m:sSub>
      </m:oMath>
      <w:r>
        <w:t xml:space="preserve">, we rewrite the bracketed term:</w:t>
      </w:r>
    </w:p>
    <w:p>
      <w:pPr>
        <w:pStyle w:val="BodyText"/>
      </w:pPr>
      <m:oMathPara>
        <m:oMathParaPr>
          <m:jc m:val="center"/>
        </m:oMathParaPr>
        <m:oMath>
          <m:sSubSup>
            <m:e>
              <m:r>
                <m:t>D</m:t>
              </m:r>
            </m:e>
            <m:sub>
              <m:r>
                <m:t>k</m:t>
              </m:r>
            </m:sub>
            <m:sup>
              <m:r>
                <m:rPr>
                  <m:nor/>
                  <m:sty m:val="p"/>
                </m:rPr>
                <m:t>SHAP</m:t>
              </m:r>
            </m:sup>
          </m:sSubSup>
          <m:r>
            <m:rPr>
              <m:sty m:val="p"/>
            </m:rPr>
            <m:t>=</m:t>
          </m:r>
          <m:sSub>
            <m:e>
              <m:acc>
                <m:accPr>
                  <m:chr m:val="̂"/>
                </m:accPr>
                <m:e>
                  <m:r>
                    <m:t>β</m:t>
                  </m:r>
                </m:e>
              </m:acc>
            </m:e>
            <m:sub>
              <m:r>
                <m:t>k</m:t>
              </m:r>
            </m:sub>
          </m:sSub>
          <m:d>
            <m:dPr>
              <m:begChr m:val="("/>
              <m:sepChr m:val=""/>
              <m:endChr m:val=")"/>
              <m:grow/>
            </m:dPr>
            <m:e>
              <m:f>
                <m:fPr>
                  <m:type m:val="bar"/>
                </m:fPr>
                <m:num>
                  <m:sSub>
                    <m:e>
                      <m:acc>
                        <m:accPr>
                          <m:chr m:val="‾"/>
                        </m:accPr>
                        <m:e>
                          <m:r>
                            <m:t>x</m:t>
                          </m:r>
                        </m:e>
                      </m:acc>
                    </m:e>
                    <m:sub>
                      <m:r>
                        <m:t>k</m:t>
                      </m:r>
                    </m:sub>
                  </m:sSub>
                </m:num>
                <m:den>
                  <m:sSub>
                    <m:e>
                      <m:r>
                        <m:t>μ</m:t>
                      </m:r>
                    </m:e>
                    <m:sub>
                      <m:acc>
                        <m:accPr>
                          <m:chr m:val="̂"/>
                        </m:accPr>
                        <m:e>
                          <m:r>
                            <m:t>y</m:t>
                          </m:r>
                        </m:e>
                      </m:acc>
                    </m:sub>
                  </m:sSub>
                </m:den>
              </m:f>
            </m:e>
          </m:d>
          <m:sSub>
            <m:e>
              <m:r>
                <m:t>C</m:t>
              </m:r>
            </m:e>
            <m:sub>
              <m:r>
                <m:t>k</m:t>
              </m:r>
            </m:sub>
          </m:sSub>
          <m:r>
            <m:rPr>
              <m:sty m:val="p"/>
            </m:rPr>
            <m:t>.</m:t>
          </m:r>
        </m:oMath>
      </m:oMathPara>
    </w:p>
    <w:p>
      <w:pPr>
        <w:pStyle w:val="FirstParagraph"/>
      </w:pPr>
      <w:r>
        <w:t xml:space="preserve">This is identical to the Wagstaff contribution formula</w:t>
      </w:r>
      <w:r>
        <w:t xml:space="preserve">(</w:t>
      </w:r>
      <w:hyperlink w:anchor="ref-wagstaff2003decomposing">
        <w:r>
          <w:rPr>
            <w:rStyle w:val="Hyperlink"/>
          </w:rPr>
          <w:t xml:space="preserve">Wagstaff, van Doorslaer and Watanabe</w:t>
        </w:r>
        <w:r>
          <w:rPr>
            <w:rStyle w:val="Hyperlink"/>
          </w:rPr>
          <w:t xml:space="preserve">, 2003</w:t>
        </w:r>
      </w:hyperlink>
      <w:r>
        <w:t xml:space="preserve">;</w:t>
      </w:r>
      <w:r>
        <w:t xml:space="preserve"> </w:t>
      </w:r>
      <w:hyperlink w:anchor="ref-speybroeck2010decomposing">
        <w:r>
          <w:rPr>
            <w:rStyle w:val="Hyperlink"/>
          </w:rPr>
          <w:t xml:space="preserve">Speybroeck</w:t>
        </w:r>
        <w:r>
          <w:rPr>
            <w:rStyle w:val="Hyperlink"/>
          </w:rPr>
          <w:t xml:space="preserve"> </w:t>
        </w:r>
        <w:r>
          <w:rPr>
            <w:rStyle w:val="Hyperlink"/>
            <w:i/>
            <w:iCs/>
          </w:rPr>
          <w:t xml:space="preserve">et al.</w:t>
        </w:r>
        <w:r>
          <w:rPr>
            <w:rStyle w:val="Hyperlink"/>
          </w:rPr>
          <w:t xml:space="preserve">, 2010</w:t>
        </w:r>
      </w:hyperlink>
      <w:r>
        <w:t xml:space="preserve">)</w:t>
      </w:r>
      <w:r>
        <w:t xml:space="preserve">. This means the SHAP-based decomposition generalises the standard approach, retaining equivalence under linearity while expanding to accommodate tree ensembles.</w:t>
      </w:r>
    </w:p>
    <w:bookmarkEnd w:id="43"/>
    <w:bookmarkEnd w:id="44"/>
    <w:bookmarkStart w:id="45" w:name="sec-simulation-study"/>
    <w:p>
      <w:pPr>
        <w:pStyle w:val="Heading2"/>
      </w:pPr>
      <w:r>
        <w:t xml:space="preserve">Simulation</w:t>
      </w:r>
    </w:p>
    <w:p>
      <w:pPr>
        <w:pStyle w:val="FirstParagraph"/>
      </w:pPr>
      <w:r>
        <w:t xml:space="preserve">We ran a small simulation study to check whether the algorithm behaved as expected. We first generated covariates: residence, maternal education, and province. Then, we produced two datasets. The null data set and the positive control. This was determined by wealth and under-5 mortality distribution. In the null case, wealth and mortality were generated randomly. In the positive case, the planted structure comprised three variables: residence, maternal education, and province. Rural children formed the main at-risk group. Within this group, children in Kasai and Nord-Kivu formed a higher-risk subgroup compared with those in Kinshasa and Kongo Central. Children with no maternal education formed the highest-risk subgroup. These planted groups were assigned lower wealth and higher under-five mortality risk, with the strongest increase among poorer children in the highest-risk subgroup.</w:t>
      </w:r>
    </w:p>
    <w:bookmarkEnd w:id="45"/>
    <w:bookmarkStart w:id="46" w:name="sec-analysis-methods"/>
    <w:p>
      <w:pPr>
        <w:pStyle w:val="Heading2"/>
      </w:pPr>
      <w:r>
        <w:t xml:space="preserve">Analysis</w:t>
      </w:r>
    </w:p>
    <w:p>
      <w:pPr>
        <w:pStyle w:val="FirstParagraph"/>
      </w:pPr>
      <w:r>
        <w:t xml:space="preserve">We divided the analysis into direct and indirect decomposition methods. The direct methods use concentration-index trees and forests, developed here, in which the model is built to reduce socioeconomic inequality in under-five mortality at each split. In these methods, the subgroup structure is part of the decomposition because the tree is fitted using the concentration index criterion. The indirect methods first fit a model for under-five mortality and then decompose the fitted mortality pattern across the socioeconomic ranking. For the indirect methods, we use a regression-based decomposition in which we fitted a survey-weighted logistic regression with a quasibinomial family using svyglm from the survey package, and the fitted equation separates the contribution of each determinant through its coefficient</w:t>
      </w:r>
      <w:r>
        <w:t xml:space="preserve"> </w:t>
      </w:r>
      <w:r>
        <w:t xml:space="preserve">(</w:t>
      </w:r>
      <w:hyperlink w:anchor="ref-wagstaff2003decomposing">
        <w:r>
          <w:rPr>
            <w:rStyle w:val="Hyperlink"/>
          </w:rPr>
          <w:t xml:space="preserve">Wagstaff, van Doorslaer and Watanabe</w:t>
        </w:r>
        <w:r>
          <w:rPr>
            <w:rStyle w:val="Hyperlink"/>
          </w:rPr>
          <w:t xml:space="preserve">, 2003</w:t>
        </w:r>
      </w:hyperlink>
      <w:r>
        <w:t xml:space="preserve">;</w:t>
      </w:r>
      <w:r>
        <w:t xml:space="preserve"> </w:t>
      </w:r>
      <w:hyperlink w:anchor="ref-speybroeck2010decomposing">
        <w:r>
          <w:rPr>
            <w:rStyle w:val="Hyperlink"/>
          </w:rPr>
          <w:t xml:space="preserve">Speybroeck</w:t>
        </w:r>
        <w:r>
          <w:rPr>
            <w:rStyle w:val="Hyperlink"/>
          </w:rPr>
          <w:t xml:space="preserve"> </w:t>
        </w:r>
        <w:r>
          <w:rPr>
            <w:rStyle w:val="Hyperlink"/>
            <w:i/>
            <w:iCs/>
          </w:rPr>
          <w:t xml:space="preserve">et al.</w:t>
        </w:r>
        <w:r>
          <w:rPr>
            <w:rStyle w:val="Hyperlink"/>
          </w:rPr>
          <w:t xml:space="preserve">, 2010</w:t>
        </w:r>
      </w:hyperlink>
      <w:r>
        <w:t xml:space="preserve">;</w:t>
      </w:r>
      <w:r>
        <w:t xml:space="preserve"> </w:t>
      </w:r>
      <w:hyperlink w:anchor="ref-survey2026">
        <w:r>
          <w:rPr>
            <w:rStyle w:val="Hyperlink"/>
          </w:rPr>
          <w:t xml:space="preserve">Lumley, 2026</w:t>
        </w:r>
      </w:hyperlink>
      <w:r>
        <w:t xml:space="preserve">)</w:t>
      </w:r>
      <w:r>
        <w:t xml:space="preserve">. The second indirect method is the SHAP-based decomposition described in</w:t>
      </w:r>
      <w:r>
        <w:t xml:space="preserve"> </w:t>
      </w:r>
      <w:hyperlink w:anchor="sec-shap-decomposition-definition">
        <w:r>
          <w:rPr>
            <w:rStyle w:val="Hyperlink"/>
          </w:rPr>
          <w:t xml:space="preserve">shap section</w:t>
        </w:r>
      </w:hyperlink>
      <w:r>
        <w:t xml:space="preserve">. For this method, a predictive random forest is fitted using the tidymodels package with the ranger engine, and the fitted predictions are then decomposed into SHAP contributions at the determinant level before applying the concentration-index decomposition</w:t>
      </w:r>
      <w:r>
        <w:t xml:space="preserve"> </w:t>
      </w:r>
      <w:r>
        <w:t xml:space="preserve">(</w:t>
      </w:r>
      <w:hyperlink w:anchor="ref-wright2017ranger">
        <w:r>
          <w:rPr>
            <w:rStyle w:val="Hyperlink"/>
          </w:rPr>
          <w:t xml:space="preserve">Wright and Ziegler, 2017</w:t>
        </w:r>
      </w:hyperlink>
      <w:r>
        <w:t xml:space="preserve">;</w:t>
      </w:r>
      <w:r>
        <w:t xml:space="preserve"> </w:t>
      </w:r>
      <w:hyperlink w:anchor="ref-tidymodels2020">
        <w:r>
          <w:rPr>
            <w:rStyle w:val="Hyperlink"/>
          </w:rPr>
          <w:t xml:space="preserve">Kuhn and Wickham, 2020</w:t>
        </w:r>
      </w:hyperlink>
      <w:r>
        <w:t xml:space="preserve">)</w:t>
      </w:r>
      <w:r>
        <w:t xml:space="preserve">.</w:t>
      </w:r>
    </w:p>
    <w:p>
      <w:pPr>
        <w:pStyle w:val="BodyText"/>
      </w:pPr>
      <w:r>
        <w:t xml:space="preserve">We also fitted a comparison concentration-index tree using the rpart R package</w:t>
      </w:r>
      <w:r>
        <w:t xml:space="preserve"> </w:t>
      </w:r>
      <w:r>
        <w:t xml:space="preserve">(</w:t>
      </w:r>
      <w:hyperlink w:anchor="ref-rpart2026">
        <w:r>
          <w:rPr>
            <w:rStyle w:val="Hyperlink"/>
          </w:rPr>
          <w:t xml:space="preserve">Therneau and Atkinson, 2026</w:t>
        </w:r>
      </w:hyperlink>
      <w:r>
        <w:t xml:space="preserve">)</w:t>
      </w:r>
      <w:r>
        <w:t xml:space="preserve"> </w:t>
      </w:r>
      <w:r>
        <w:t xml:space="preserve">with a custom concentration-index splitting method. The comparison used the same outcome, socioeconomic ranking variable, and analysis weights as the main concentration-index tree. Node impurity was also defined using the absolute concentration index. The main difference was in the tree-growing tools. In the main implementation, we used custom and Partykit controls</w:t>
      </w:r>
      <w:r>
        <w:t xml:space="preserve"> </w:t>
      </w:r>
      <w:r>
        <w:t xml:space="preserve">(</w:t>
      </w:r>
      <w:hyperlink w:anchor="ref-hothorn2015partykit">
        <w:r>
          <w:rPr>
            <w:rStyle w:val="Hyperlink"/>
          </w:rPr>
          <w:t xml:space="preserve">Hothorn and Zeileis, 2015</w:t>
        </w:r>
      </w:hyperlink>
      <w:r>
        <w:t xml:space="preserve">)</w:t>
      </w:r>
      <w:r>
        <w:t xml:space="preserve">. A split was accepted only if it satisfied the concentration-index tree controls: minimum parent-node size, minimum child-node size, minimum child-node proportion, maximum depth, minimum absolute gain, and minimum relative gain (introduced for this thesis). In the rpart comparison, split search and stopping were controlled via rpart controls, primarily minsplit, minbucket, and the complexity parameter cp. </w:t>
      </w:r>
    </w:p>
    <w:bookmarkEnd w:id="46"/>
    <w:bookmarkEnd w:id="47"/>
    <w:bookmarkStart w:id="124" w:name="results"/>
    <w:p>
      <w:pPr>
        <w:pStyle w:val="Heading1"/>
      </w:pPr>
      <w:r>
        <w:t xml:space="preserve">Results</w:t>
      </w:r>
    </w:p>
    <w:bookmarkStart w:id="52" w:name="exploratory-data-analysis"/>
    <w:p>
      <w:pPr>
        <w:pStyle w:val="Heading2"/>
      </w:pPr>
      <w:r>
        <w:t xml:space="preserve">Exploratory Data Analysis</w:t>
      </w:r>
    </w:p>
    <w:p>
      <w:pPr>
        <w:pStyle w:val="FirstParagraph"/>
      </w:pPr>
      <w:r>
        <w:t xml:space="preserve">In the DRC Data Set</w:t>
      </w:r>
      <w:r>
        <w:t xml:space="preserve">(</w:t>
      </w:r>
      <w:hyperlink w:anchor="ref-dhs_drc_2007_dataset">
        <w:r>
          <w:rPr>
            <w:rStyle w:val="Hyperlink"/>
          </w:rPr>
          <w:t xml:space="preserve">The DRC Program Program, 2007</w:t>
        </w:r>
      </w:hyperlink>
      <w:r>
        <w:t xml:space="preserve">)</w:t>
      </w:r>
      <w:r>
        <w:t xml:space="preserve">, 10.32% of children died before reaching age five (</w:t>
      </w:r>
      <w:hyperlink w:anchor="fig-results-wealth-distribution">
        <w:r>
          <w:rPr>
            <w:rStyle w:val="Hyperlink"/>
          </w:rPr>
          <w:t xml:space="preserve">Figure 3</w:t>
        </w:r>
      </w:hyperlink>
      <w:r>
        <w:t xml:space="preserve">). Deaths were more commonly observed among children from disadvantaged or rural backgrounds. The children who died differed descriptively from those who survived. Low-wealth households accounted for a larger share of deaths than of survivors (51.3% versus 42.8%). The same pattern was present for rural residence (69.3% versus 60.7%), no skilled attendance at birth (65.6% versus 56.8%), and mothers with no education (67.5% versus 55.2%) (</w:t>
      </w:r>
      <w:hyperlink w:anchor="tbl-appendix-weighted-baseline">
        <w:r>
          <w:rPr>
            <w:rStyle w:val="Hyperlink"/>
          </w:rPr>
          <w:t xml:space="preserve">Table 2</w:t>
        </w:r>
      </w:hyperlink>
      <w:r>
        <w:t xml:space="preserve">). Mortality also differed across provinces, ranging from 6.2% in Kinshasa to 14.2% in Katanga (</w:t>
      </w:r>
      <w:hyperlink w:anchor="Xae73381f5eabb14ee7a1a9401f1fbd7f28ab9ec">
        <w:r>
          <w:rPr>
            <w:rStyle w:val="Hyperlink"/>
          </w:rPr>
          <w:t xml:space="preserve">Figure 15</w:t>
        </w:r>
      </w:hyperlink>
      <w:r>
        <w:t xml:space="preserve">). Next we use the direct and indirect methods for decomposition.</w:t>
      </w:r>
    </w:p>
    <w:tbl>
      <w:tblPr>
        <w:tblStyle w:val="Table"/>
        <w:tblW w:type="pct" w:w="5000"/>
        <w:tblLayout w:type="fixed"/>
        <w:tblLook w:firstRow="0" w:lastRow="0" w:firstColumn="0" w:lastColumn="0" w:noHBand="0" w:noVBand="0" w:val="0000"/>
      </w:tblPr>
      <w:tblGrid>
        <w:gridCol w:w="7920"/>
      </w:tblGrid>
      <w:tr>
        <w:tc>
          <w:tcPr/>
          <w:bookmarkStart w:id="51" w:name="fig-results-wealth-distribution"/>
          <w:p>
            <w:pPr>
              <w:pStyle w:val="Compact"/>
              <w:jc w:val="center"/>
            </w:pPr>
            <w:r>
              <w:drawing>
                <wp:inline>
                  <wp:extent cx="5334000" cy="2667000"/>
                  <wp:effectExtent b="0" l="0" r="0" t="0"/>
                  <wp:docPr descr="" title="" id="49" name="Picture"/>
                  <a:graphic>
                    <a:graphicData uri="http://schemas.openxmlformats.org/drawingml/2006/picture">
                      <pic:pic>
                        <pic:nvPicPr>
                          <pic:cNvPr descr="MSE_Thesis_Decomposition_of_CI_Trees_MM_files/figure-docx/fig-results-wealth-distribution-1.pdf" id="5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Under-five mortality distribution and DHS wealth index in the DRC analysis data.</w:t>
            </w:r>
          </w:p>
          <w:bookmarkEnd w:id="51"/>
        </w:tc>
      </w:tr>
    </w:tbl>
    <w:bookmarkEnd w:id="52"/>
    <w:bookmarkStart w:id="55" w:name="Xef54d1cbebab51a9f0a3dfaa5ebb87f8915055d"/>
    <w:p>
      <w:pPr>
        <w:pStyle w:val="Heading2"/>
      </w:pPr>
      <w:r>
        <w:t xml:space="preserve">Decomposition of determinants of under-five mortality</w:t>
      </w:r>
    </w:p>
    <w:bookmarkStart w:id="54" w:name="X23cdcc375c836c8cc22193ab4fcabbd3ff51369"/>
    <w:p>
      <w:pPr>
        <w:pStyle w:val="Heading3"/>
      </w:pPr>
      <w:r>
        <w:t xml:space="preserve">Indirect methods comparison (regression and predictive-forest SHAP)</w:t>
      </w:r>
    </w:p>
    <w:p>
      <w:pPr>
        <w:pStyle w:val="FirstParagraph"/>
      </w:pPr>
      <w:r>
        <w:t xml:space="preserve">From the indirect decomposition, we see that the largest regression contribution came from mother’s education: 23.1% under CI and 28.7% under CIg/CIc (</w:t>
      </w:r>
      <w:hyperlink w:anchor="tbl-results-method-comparison">
        <w:r>
          <w:rPr>
            <w:rStyle w:val="Hyperlink"/>
          </w:rPr>
          <w:t xml:space="preserve">Table 1</w:t>
        </w:r>
      </w:hyperlink>
      <w:r>
        <w:t xml:space="preserve">). Father’s occupation in agriculture was second, contributing 17.9% under CI and 19.9% under CIg/CIc. In the predictive-forest SHAP decomposition, the contributions were less concentrated in one or two variables. Residence and household wealth each contributed about 12% under CI, CIg and CIc, followed by mother’s occupation, father’s occupation, mother’s education and skilled birth attendance. The fitted regression model is reported in</w:t>
      </w:r>
      <w:r>
        <w:t xml:space="preserve"> </w:t>
      </w:r>
      <w:hyperlink w:anchor="tbl-appendix-regression-model-summary">
        <w:r>
          <w:rPr>
            <w:rStyle w:val="Hyperlink"/>
          </w:rPr>
          <w:t xml:space="preserve">Table 3</w:t>
        </w:r>
      </w:hyperlink>
      <w:r>
        <w:t xml:space="preserve">. Details of the fitted predictive forest are provided in</w:t>
      </w:r>
      <w:r>
        <w:t xml:space="preserve"> </w:t>
      </w:r>
      <w:hyperlink w:anchor="tbl-appendix-ranger-sampling-summary">
        <w:r>
          <w:rPr>
            <w:rStyle w:val="Hyperlink"/>
          </w:rPr>
          <w:t xml:space="preserve">Table 4</w:t>
        </w:r>
      </w:hyperlink>
      <w:r>
        <w:t xml:space="preserve"> </w:t>
      </w:r>
      <w:r>
        <w:t xml:space="preserve">and</w:t>
      </w:r>
      <w:r>
        <w:t xml:space="preserve"> </w:t>
      </w:r>
      <w:hyperlink w:anchor="tbl-appendix-ranger-cross-validation">
        <w:r>
          <w:rPr>
            <w:rStyle w:val="Hyperlink"/>
          </w:rPr>
          <w:t xml:space="preserve">Table 5</w:t>
        </w:r>
      </w:hyperlink>
      <w:r>
        <w:t xml:space="preserve">, and its SHAP contributions are shown in</w:t>
      </w:r>
      <w:r>
        <w:t xml:space="preserve"> </w:t>
      </w:r>
      <w:hyperlink w:anchor="fig-appendix-shap-summary">
        <w:r>
          <w:rPr>
            <w:rStyle w:val="Hyperlink"/>
          </w:rPr>
          <w:t xml:space="preserve">Figure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 w:name="tbl-results-method-comparison"/>
          <w:p>
            <w:pPr>
              <w:jc w:val="center"/>
            </w:pPr>
            <w:pPr>
              <w:jc w:val="left"/>
              <w:spacing w:before="200"/>
              <w:pStyle w:val="ImageCaption"/>
            </w:pPr>
            <w:r>
              <w:t xml:space="preserve">Table 1: Regression and predictive-forest SHAP percentage contributions by criterion.</w:t>
            </w:r>
          </w:p>
          <w:tbl>
            <w:tblPr>
              <w:tblStyle w:val="Table"/>
              <w:tblW w:type="pct" w:w="5000"/>
              <w:tblLayout w:type="fixed"/>
              <w:tblLook w:firstRow="1" w:lastRow="0" w:firstColumn="0" w:lastColumn="0" w:noHBand="0" w:noVBand="0" w:val="0020"/>
            </w:tblPr>
            <w:tblGrid>
              <w:gridCol w:w="4033"/>
              <w:gridCol w:w="513"/>
              <w:gridCol w:w="586"/>
              <w:gridCol w:w="586"/>
              <w:gridCol w:w="513"/>
              <w:gridCol w:w="586"/>
              <w:gridCol w:w="586"/>
              <w:gridCol w:w="513"/>
            </w:tblGrid>
            <w:tr>
              <w:trPr>
                <w:tblHeader w:val="on"/>
              </w:trPr>
              <w:tc>
                <w:tcPr/>
                <w:p>
                  <w:pPr>
                    <w:pStyle w:val="Compact"/>
                    <w:jc w:val="left"/>
                    <w:jc w:val="center"/>
                  </w:pPr>
                  <w:r>
                    <w:t xml:space="preserve">Variable</w:t>
                  </w:r>
                </w:p>
              </w:tc>
              <w:tc>
                <w:tcPr/>
                <w:p>
                  <w:pPr>
                    <w:pStyle w:val="Compact"/>
                    <w:jc w:val="right"/>
                    <w:jc w:val="center"/>
                  </w:pPr>
                  <w:r>
                    <w:t xml:space="preserve">CI (%)</w:t>
                  </w:r>
                </w:p>
              </w:tc>
              <w:tc>
                <w:tcPr/>
                <w:p>
                  <w:pPr>
                    <w:pStyle w:val="Compact"/>
                    <w:jc w:val="right"/>
                    <w:jc w:val="center"/>
                  </w:pPr>
                  <w:r>
                    <w:t xml:space="preserve">CIg (%)</w:t>
                  </w:r>
                </w:p>
              </w:tc>
              <w:tc>
                <w:tcPr/>
                <w:p>
                  <w:pPr>
                    <w:pStyle w:val="Compact"/>
                    <w:jc w:val="right"/>
                    <w:jc w:val="center"/>
                  </w:pPr>
                  <w:r>
                    <w:t xml:space="preserve">CIc (%)</w:t>
                  </w:r>
                </w:p>
              </w:tc>
              <w:tc>
                <w:tcPr/>
                <w:p>
                  <w:pPr>
                    <w:pStyle w:val="Compact"/>
                    <w:jc w:val="right"/>
                    <w:jc w:val="center"/>
                  </w:pPr>
                  <w:r>
                    <w:t xml:space="preserve">CI (%)</w:t>
                  </w:r>
                </w:p>
              </w:tc>
              <w:tc>
                <w:tcPr/>
                <w:p>
                  <w:pPr>
                    <w:pStyle w:val="Compact"/>
                    <w:jc w:val="right"/>
                    <w:jc w:val="center"/>
                  </w:pPr>
                  <w:r>
                    <w:t xml:space="preserve">CIg (%)</w:t>
                  </w:r>
                </w:p>
              </w:tc>
              <w:tc>
                <w:tcPr/>
                <w:p>
                  <w:pPr>
                    <w:pStyle w:val="Compact"/>
                    <w:jc w:val="right"/>
                    <w:jc w:val="center"/>
                  </w:pPr>
                  <w:r>
                    <w:t xml:space="preserve">CIc (%)</w:t>
                  </w:r>
                </w:p>
              </w:tc>
              <w:tc>
                <w:tcPr/>
                <w:p>
                  <w:pPr>
                    <w:pStyle w:val="Compact"/>
                    <w:jc w:val="right"/>
                    <w:jc w:val="center"/>
                  </w:pPr>
                  <w:r>
                    <w:t xml:space="preserve">L (%)</w:t>
                  </w:r>
                </w:p>
              </w:tc>
            </w:tr>
            <w:tr>
              <w:tc>
                <w:tcPr/>
                <w:p>
                  <w:pPr>
                    <w:pStyle w:val="Compact"/>
                    <w:jc w:val="left"/>
                    <w:jc w:val="center"/>
                  </w:pPr>
                  <w:r>
                    <w:t xml:space="preserve">Mother’s education</w:t>
                  </w:r>
                </w:p>
              </w:tc>
              <w:tc>
                <w:tcPr/>
                <w:p>
                  <w:pPr>
                    <w:pStyle w:val="Compact"/>
                    <w:jc w:val="right"/>
                    <w:jc w:val="center"/>
                  </w:pPr>
                  <w:r>
                    <w:t xml:space="preserve">23.058</w:t>
                  </w:r>
                </w:p>
              </w:tc>
              <w:tc>
                <w:tcPr/>
                <w:p>
                  <w:pPr>
                    <w:pStyle w:val="Compact"/>
                    <w:jc w:val="right"/>
                    <w:jc w:val="center"/>
                  </w:pPr>
                  <w:r>
                    <w:t xml:space="preserve">28.726</w:t>
                  </w:r>
                </w:p>
              </w:tc>
              <w:tc>
                <w:tcPr/>
                <w:p>
                  <w:pPr>
                    <w:pStyle w:val="Compact"/>
                    <w:jc w:val="right"/>
                    <w:jc w:val="center"/>
                  </w:pPr>
                  <w:r>
                    <w:t xml:space="preserve">28.726</w:t>
                  </w:r>
                </w:p>
              </w:tc>
              <w:tc>
                <w:tcPr/>
                <w:p>
                  <w:pPr>
                    <w:pStyle w:val="Compact"/>
                    <w:jc w:val="right"/>
                    <w:jc w:val="center"/>
                  </w:pPr>
                  <w:r>
                    <w:t xml:space="preserve">11.110</w:t>
                  </w:r>
                </w:p>
              </w:tc>
              <w:tc>
                <w:tcPr/>
                <w:p>
                  <w:pPr>
                    <w:pStyle w:val="Compact"/>
                    <w:jc w:val="right"/>
                    <w:jc w:val="center"/>
                  </w:pPr>
                  <w:r>
                    <w:t xml:space="preserve">11.110</w:t>
                  </w:r>
                </w:p>
              </w:tc>
              <w:tc>
                <w:tcPr/>
                <w:p>
                  <w:pPr>
                    <w:pStyle w:val="Compact"/>
                    <w:jc w:val="right"/>
                    <w:jc w:val="center"/>
                  </w:pPr>
                  <w:r>
                    <w:t xml:space="preserve">11.110</w:t>
                  </w:r>
                </w:p>
              </w:tc>
              <w:tc>
                <w:tcPr/>
                <w:p>
                  <w:pPr>
                    <w:pStyle w:val="Compact"/>
                    <w:jc w:val="right"/>
                    <w:jc w:val="center"/>
                  </w:pPr>
                  <w:r>
                    <w:t xml:space="preserve">12.684</w:t>
                  </w:r>
                </w:p>
              </w:tc>
            </w:tr>
            <w:tr>
              <w:tc>
                <w:tcPr/>
                <w:p>
                  <w:pPr>
                    <w:pStyle w:val="Compact"/>
                    <w:jc w:val="left"/>
                    <w:jc w:val="center"/>
                  </w:pPr>
                  <w:r>
                    <w:t xml:space="preserve">Father’s occupation: Agriculture</w:t>
                  </w:r>
                </w:p>
              </w:tc>
              <w:tc>
                <w:tcPr/>
                <w:p>
                  <w:pPr>
                    <w:pStyle w:val="Compact"/>
                    <w:jc w:val="right"/>
                    <w:jc w:val="center"/>
                  </w:pPr>
                  <w:r>
                    <w:t xml:space="preserve">17.863</w:t>
                  </w:r>
                </w:p>
              </w:tc>
              <w:tc>
                <w:tcPr/>
                <w:p>
                  <w:pPr>
                    <w:pStyle w:val="Compact"/>
                    <w:jc w:val="right"/>
                    <w:jc w:val="center"/>
                  </w:pPr>
                  <w:r>
                    <w:t xml:space="preserve">19.885</w:t>
                  </w:r>
                </w:p>
              </w:tc>
              <w:tc>
                <w:tcPr/>
                <w:p>
                  <w:pPr>
                    <w:pStyle w:val="Compact"/>
                    <w:jc w:val="right"/>
                    <w:jc w:val="center"/>
                  </w:pPr>
                  <w:r>
                    <w:t xml:space="preserve">19.885</w:t>
                  </w:r>
                </w:p>
              </w:tc>
              <w:tc>
                <w:tcPr/>
                <w:p>
                  <w:pPr>
                    <w:pStyle w:val="Compact"/>
                    <w:jc w:val="right"/>
                    <w:jc w:val="center"/>
                  </w:pPr>
                  <w:r>
                    <w:t xml:space="preserve">4.619</w:t>
                  </w:r>
                </w:p>
              </w:tc>
              <w:tc>
                <w:tcPr/>
                <w:p>
                  <w:pPr>
                    <w:pStyle w:val="Compact"/>
                    <w:jc w:val="right"/>
                    <w:jc w:val="center"/>
                  </w:pPr>
                  <w:r>
                    <w:t xml:space="preserve">4.619</w:t>
                  </w:r>
                </w:p>
              </w:tc>
              <w:tc>
                <w:tcPr/>
                <w:p>
                  <w:pPr>
                    <w:pStyle w:val="Compact"/>
                    <w:jc w:val="right"/>
                    <w:jc w:val="center"/>
                  </w:pPr>
                  <w:r>
                    <w:t xml:space="preserve">4.619</w:t>
                  </w:r>
                </w:p>
              </w:tc>
              <w:tc>
                <w:tcPr/>
                <w:p>
                  <w:pPr>
                    <w:pStyle w:val="Compact"/>
                    <w:jc w:val="right"/>
                    <w:jc w:val="center"/>
                  </w:pPr>
                  <w:r>
                    <w:t xml:space="preserve">5.060</w:t>
                  </w:r>
                </w:p>
              </w:tc>
            </w:tr>
            <w:tr>
              <w:tc>
                <w:tcPr/>
                <w:p>
                  <w:pPr>
                    <w:pStyle w:val="Compact"/>
                    <w:jc w:val="left"/>
                    <w:jc w:val="center"/>
                  </w:pPr>
                  <w:r>
                    <w:t xml:space="preserve">Mother’s occupation: Agriculture</w:t>
                  </w:r>
                </w:p>
              </w:tc>
              <w:tc>
                <w:tcPr/>
                <w:p>
                  <w:pPr>
                    <w:pStyle w:val="Compact"/>
                    <w:jc w:val="right"/>
                    <w:jc w:val="center"/>
                  </w:pPr>
                  <w:r>
                    <w:t xml:space="preserve">11.684</w:t>
                  </w:r>
                </w:p>
              </w:tc>
              <w:tc>
                <w:tcPr/>
                <w:p>
                  <w:pPr>
                    <w:pStyle w:val="Compact"/>
                    <w:jc w:val="right"/>
                    <w:jc w:val="center"/>
                  </w:pPr>
                  <w:r>
                    <w:t xml:space="preserve">14.393</w:t>
                  </w:r>
                </w:p>
              </w:tc>
              <w:tc>
                <w:tcPr/>
                <w:p>
                  <w:pPr>
                    <w:pStyle w:val="Compact"/>
                    <w:jc w:val="right"/>
                    <w:jc w:val="center"/>
                  </w:pPr>
                  <w:r>
                    <w:t xml:space="preserve">14.393</w:t>
                  </w:r>
                </w:p>
              </w:tc>
              <w:tc>
                <w:tcPr/>
                <w:p>
                  <w:pPr>
                    <w:pStyle w:val="Compact"/>
                    <w:jc w:val="right"/>
                    <w:jc w:val="center"/>
                  </w:pPr>
                  <w:r>
                    <w:t xml:space="preserve">3.474</w:t>
                  </w:r>
                </w:p>
              </w:tc>
              <w:tc>
                <w:tcPr/>
                <w:p>
                  <w:pPr>
                    <w:pStyle w:val="Compact"/>
                    <w:jc w:val="right"/>
                    <w:jc w:val="center"/>
                  </w:pPr>
                  <w:r>
                    <w:t xml:space="preserve">3.474</w:t>
                  </w:r>
                </w:p>
              </w:tc>
              <w:tc>
                <w:tcPr/>
                <w:p>
                  <w:pPr>
                    <w:pStyle w:val="Compact"/>
                    <w:jc w:val="right"/>
                    <w:jc w:val="center"/>
                  </w:pPr>
                  <w:r>
                    <w:t xml:space="preserve">3.474</w:t>
                  </w:r>
                </w:p>
              </w:tc>
              <w:tc>
                <w:tcPr/>
                <w:p>
                  <w:pPr>
                    <w:pStyle w:val="Compact"/>
                    <w:jc w:val="right"/>
                    <w:jc w:val="center"/>
                  </w:pPr>
                  <w:r>
                    <w:t xml:space="preserve">3.262</w:t>
                  </w:r>
                </w:p>
              </w:tc>
            </w:tr>
            <w:tr>
              <w:tc>
                <w:tcPr/>
                <w:p>
                  <w:pPr>
                    <w:pStyle w:val="Compact"/>
                    <w:jc w:val="left"/>
                    <w:jc w:val="center"/>
                  </w:pPr>
                  <w:r>
                    <w:t xml:space="preserve">Household wealth</w:t>
                  </w:r>
                </w:p>
              </w:tc>
              <w:tc>
                <w:tcPr/>
                <w:p>
                  <w:pPr>
                    <w:pStyle w:val="Compact"/>
                    <w:jc w:val="right"/>
                    <w:jc w:val="center"/>
                  </w:pPr>
                  <w:r>
                    <w:t xml:space="preserve">9.116</w:t>
                  </w:r>
                </w:p>
              </w:tc>
              <w:tc>
                <w:tcPr/>
                <w:p>
                  <w:pPr>
                    <w:pStyle w:val="Compact"/>
                    <w:jc w:val="right"/>
                    <w:jc w:val="center"/>
                  </w:pPr>
                  <w:r>
                    <w:t xml:space="preserve">8.788</w:t>
                  </w:r>
                </w:p>
              </w:tc>
              <w:tc>
                <w:tcPr/>
                <w:p>
                  <w:pPr>
                    <w:pStyle w:val="Compact"/>
                    <w:jc w:val="right"/>
                    <w:jc w:val="center"/>
                  </w:pPr>
                  <w:r>
                    <w:t xml:space="preserve">8.788</w:t>
                  </w:r>
                </w:p>
              </w:tc>
              <w:tc>
                <w:tcPr/>
                <w:p>
                  <w:pPr>
                    <w:pStyle w:val="Compact"/>
                    <w:jc w:val="right"/>
                    <w:jc w:val="center"/>
                  </w:pPr>
                  <w:r>
                    <w:t xml:space="preserve">11.531</w:t>
                  </w:r>
                </w:p>
              </w:tc>
              <w:tc>
                <w:tcPr/>
                <w:p>
                  <w:pPr>
                    <w:pStyle w:val="Compact"/>
                    <w:jc w:val="right"/>
                    <w:jc w:val="center"/>
                  </w:pPr>
                  <w:r>
                    <w:t xml:space="preserve">11.531</w:t>
                  </w:r>
                </w:p>
              </w:tc>
              <w:tc>
                <w:tcPr/>
                <w:p>
                  <w:pPr>
                    <w:pStyle w:val="Compact"/>
                    <w:jc w:val="right"/>
                    <w:jc w:val="center"/>
                  </w:pPr>
                  <w:r>
                    <w:t xml:space="preserve">11.531</w:t>
                  </w:r>
                </w:p>
              </w:tc>
              <w:tc>
                <w:tcPr/>
                <w:p>
                  <w:pPr>
                    <w:pStyle w:val="Compact"/>
                    <w:jc w:val="right"/>
                    <w:jc w:val="center"/>
                  </w:pPr>
                  <w:r>
                    <w:t xml:space="preserve">6.980</w:t>
                  </w:r>
                </w:p>
              </w:tc>
            </w:tr>
            <w:tr>
              <w:tc>
                <w:tcPr/>
                <w:p>
                  <w:pPr>
                    <w:pStyle w:val="Compact"/>
                    <w:jc w:val="left"/>
                    <w:jc w:val="center"/>
                  </w:pPr>
                  <w:r>
                    <w:t xml:space="preserve">Type of residence</w:t>
                  </w:r>
                </w:p>
              </w:tc>
              <w:tc>
                <w:tcPr/>
                <w:p>
                  <w:pPr>
                    <w:pStyle w:val="Compact"/>
                    <w:jc w:val="right"/>
                    <w:jc w:val="center"/>
                  </w:pPr>
                  <w:r>
                    <w:t xml:space="preserve">8.733</w:t>
                  </w:r>
                </w:p>
              </w:tc>
              <w:tc>
                <w:tcPr/>
                <w:p>
                  <w:pPr>
                    <w:pStyle w:val="Compact"/>
                    <w:jc w:val="right"/>
                    <w:jc w:val="center"/>
                  </w:pPr>
                  <w:r>
                    <w:t xml:space="preserve">11.866</w:t>
                  </w:r>
                </w:p>
              </w:tc>
              <w:tc>
                <w:tcPr/>
                <w:p>
                  <w:pPr>
                    <w:pStyle w:val="Compact"/>
                    <w:jc w:val="right"/>
                    <w:jc w:val="center"/>
                  </w:pPr>
                  <w:r>
                    <w:t xml:space="preserve">11.866</w:t>
                  </w:r>
                </w:p>
              </w:tc>
              <w:tc>
                <w:tcPr/>
                <w:p>
                  <w:pPr>
                    <w:pStyle w:val="Compact"/>
                    <w:jc w:val="right"/>
                    <w:jc w:val="center"/>
                  </w:pPr>
                  <w:r>
                    <w:t xml:space="preserve">21.630</w:t>
                  </w:r>
                </w:p>
              </w:tc>
              <w:tc>
                <w:tcPr/>
                <w:p>
                  <w:pPr>
                    <w:pStyle w:val="Compact"/>
                    <w:jc w:val="right"/>
                    <w:jc w:val="center"/>
                  </w:pPr>
                  <w:r>
                    <w:t xml:space="preserve">21.630</w:t>
                  </w:r>
                </w:p>
              </w:tc>
              <w:tc>
                <w:tcPr/>
                <w:p>
                  <w:pPr>
                    <w:pStyle w:val="Compact"/>
                    <w:jc w:val="right"/>
                    <w:jc w:val="center"/>
                  </w:pPr>
                  <w:r>
                    <w:t xml:space="preserve">21.630</w:t>
                  </w:r>
                </w:p>
              </w:tc>
              <w:tc>
                <w:tcPr/>
                <w:p>
                  <w:pPr>
                    <w:pStyle w:val="Compact"/>
                    <w:jc w:val="right"/>
                    <w:jc w:val="center"/>
                  </w:pPr>
                  <w:r>
                    <w:t xml:space="preserve">21.038</w:t>
                  </w:r>
                </w:p>
              </w:tc>
            </w:tr>
            <w:tr>
              <w:tc>
                <w:tcPr/>
                <w:p>
                  <w:pPr>
                    <w:pStyle w:val="Compact"/>
                    <w:jc w:val="left"/>
                    <w:jc w:val="center"/>
                  </w:pPr>
                  <w:r>
                    <w:t xml:space="preserve">Skilled birth attendance</w:t>
                  </w:r>
                </w:p>
              </w:tc>
              <w:tc>
                <w:tcPr/>
                <w:p>
                  <w:pPr>
                    <w:pStyle w:val="Compact"/>
                    <w:jc w:val="right"/>
                    <w:jc w:val="center"/>
                  </w:pPr>
                  <w:r>
                    <w:t xml:space="preserve">7.848</w:t>
                  </w:r>
                </w:p>
              </w:tc>
              <w:tc>
                <w:tcPr/>
                <w:p>
                  <w:pPr>
                    <w:pStyle w:val="Compact"/>
                    <w:jc w:val="right"/>
                    <w:jc w:val="center"/>
                  </w:pPr>
                  <w:r>
                    <w:t xml:space="preserve">9.988</w:t>
                  </w:r>
                </w:p>
              </w:tc>
              <w:tc>
                <w:tcPr/>
                <w:p>
                  <w:pPr>
                    <w:pStyle w:val="Compact"/>
                    <w:jc w:val="right"/>
                    <w:jc w:val="center"/>
                  </w:pPr>
                  <w:r>
                    <w:t xml:space="preserve">9.988</w:t>
                  </w:r>
                </w:p>
              </w:tc>
              <w:tc>
                <w:tcPr/>
                <w:p>
                  <w:pPr>
                    <w:pStyle w:val="Compact"/>
                    <w:jc w:val="right"/>
                    <w:jc w:val="center"/>
                  </w:pPr>
                  <w:r>
                    <w:t xml:space="preserve">10.058</w:t>
                  </w:r>
                </w:p>
              </w:tc>
              <w:tc>
                <w:tcPr/>
                <w:p>
                  <w:pPr>
                    <w:pStyle w:val="Compact"/>
                    <w:jc w:val="right"/>
                    <w:jc w:val="center"/>
                  </w:pPr>
                  <w:r>
                    <w:t xml:space="preserve">10.058</w:t>
                  </w:r>
                </w:p>
              </w:tc>
              <w:tc>
                <w:tcPr/>
                <w:p>
                  <w:pPr>
                    <w:pStyle w:val="Compact"/>
                    <w:jc w:val="right"/>
                    <w:jc w:val="center"/>
                  </w:pPr>
                  <w:r>
                    <w:t xml:space="preserve">10.058</w:t>
                  </w:r>
                </w:p>
              </w:tc>
              <w:tc>
                <w:tcPr/>
                <w:p>
                  <w:pPr>
                    <w:pStyle w:val="Compact"/>
                    <w:jc w:val="right"/>
                    <w:jc w:val="center"/>
                  </w:pPr>
                  <w:r>
                    <w:t xml:space="preserve">7.107</w:t>
                  </w:r>
                </w:p>
              </w:tc>
            </w:tr>
            <w:tr>
              <w:tc>
                <w:tcPr/>
                <w:p>
                  <w:pPr>
                    <w:pStyle w:val="Compact"/>
                    <w:jc w:val="left"/>
                    <w:jc w:val="center"/>
                  </w:pPr>
                  <w:r>
                    <w:t xml:space="preserve">Region: Equateur</w:t>
                  </w:r>
                </w:p>
              </w:tc>
              <w:tc>
                <w:tcPr/>
                <w:p>
                  <w:pPr>
                    <w:pStyle w:val="Compact"/>
                    <w:jc w:val="right"/>
                    <w:jc w:val="center"/>
                  </w:pPr>
                  <w:r>
                    <w:t xml:space="preserve">3.761</w:t>
                  </w:r>
                </w:p>
              </w:tc>
              <w:tc>
                <w:tcPr/>
                <w:p>
                  <w:pPr>
                    <w:pStyle w:val="Compact"/>
                    <w:jc w:val="right"/>
                    <w:jc w:val="center"/>
                  </w:pPr>
                  <w:r>
                    <w:t xml:space="preserve">1.066</w:t>
                  </w:r>
                </w:p>
              </w:tc>
              <w:tc>
                <w:tcPr/>
                <w:p>
                  <w:pPr>
                    <w:pStyle w:val="Compact"/>
                    <w:jc w:val="right"/>
                    <w:jc w:val="center"/>
                  </w:pPr>
                  <w:r>
                    <w:t xml:space="preserve">1.066</w:t>
                  </w:r>
                </w:p>
              </w:tc>
              <w:tc>
                <w:tcPr/>
                <w:p>
                  <w:pPr>
                    <w:pStyle w:val="Compact"/>
                    <w:jc w:val="right"/>
                    <w:jc w:val="center"/>
                  </w:pPr>
                  <w:r>
                    <w:t xml:space="preserve">3.165</w:t>
                  </w:r>
                </w:p>
              </w:tc>
              <w:tc>
                <w:tcPr/>
                <w:p>
                  <w:pPr>
                    <w:pStyle w:val="Compact"/>
                    <w:jc w:val="right"/>
                    <w:jc w:val="center"/>
                  </w:pPr>
                  <w:r>
                    <w:t xml:space="preserve">3.165</w:t>
                  </w:r>
                </w:p>
              </w:tc>
              <w:tc>
                <w:tcPr/>
                <w:p>
                  <w:pPr>
                    <w:pStyle w:val="Compact"/>
                    <w:jc w:val="right"/>
                    <w:jc w:val="center"/>
                  </w:pPr>
                  <w:r>
                    <w:t xml:space="preserve">3.165</w:t>
                  </w:r>
                </w:p>
              </w:tc>
              <w:tc>
                <w:tcPr/>
                <w:p>
                  <w:pPr>
                    <w:pStyle w:val="Compact"/>
                    <w:jc w:val="right"/>
                    <w:jc w:val="center"/>
                  </w:pPr>
                  <w:r>
                    <w:t xml:space="preserve">4.165</w:t>
                  </w:r>
                </w:p>
              </w:tc>
            </w:tr>
            <w:tr>
              <w:tc>
                <w:tcPr/>
                <w:p>
                  <w:pPr>
                    <w:pStyle w:val="Compact"/>
                    <w:jc w:val="left"/>
                    <w:jc w:val="center"/>
                  </w:pPr>
                  <w:r>
                    <w:t xml:space="preserve">Father’s occupation: Household, unskilled, not working</w:t>
                  </w:r>
                </w:p>
              </w:tc>
              <w:tc>
                <w:tcPr/>
                <w:p>
                  <w:pPr>
                    <w:pStyle w:val="Compact"/>
                    <w:jc w:val="right"/>
                    <w:jc w:val="center"/>
                  </w:pPr>
                  <w:r>
                    <w:t xml:space="preserve">3.370</w:t>
                  </w:r>
                </w:p>
              </w:tc>
              <w:tc>
                <w:tcPr/>
                <w:p>
                  <w:pPr>
                    <w:pStyle w:val="Compact"/>
                    <w:jc w:val="right"/>
                    <w:jc w:val="center"/>
                  </w:pPr>
                  <w:r>
                    <w:t xml:space="preserve">0.955</w:t>
                  </w:r>
                </w:p>
              </w:tc>
              <w:tc>
                <w:tcPr/>
                <w:p>
                  <w:pPr>
                    <w:pStyle w:val="Compact"/>
                    <w:jc w:val="right"/>
                    <w:jc w:val="center"/>
                  </w:pPr>
                  <w:r>
                    <w:t xml:space="preserve">0.955</w:t>
                  </w:r>
                </w:p>
              </w:tc>
              <w:tc>
                <w:tcPr/>
                <w:p>
                  <w:pPr>
                    <w:pStyle w:val="Compact"/>
                    <w:jc w:val="right"/>
                    <w:jc w:val="center"/>
                  </w:pPr>
                  <w:r>
                    <w:t xml:space="preserve">-0.430</w:t>
                  </w:r>
                </w:p>
              </w:tc>
              <w:tc>
                <w:tcPr/>
                <w:p>
                  <w:pPr>
                    <w:pStyle w:val="Compact"/>
                    <w:jc w:val="right"/>
                    <w:jc w:val="center"/>
                  </w:pPr>
                  <w:r>
                    <w:t xml:space="preserve">-0.430</w:t>
                  </w:r>
                </w:p>
              </w:tc>
              <w:tc>
                <w:tcPr/>
                <w:p>
                  <w:pPr>
                    <w:pStyle w:val="Compact"/>
                    <w:jc w:val="right"/>
                    <w:jc w:val="center"/>
                  </w:pPr>
                  <w:r>
                    <w:t xml:space="preserve">-0.430</w:t>
                  </w:r>
                </w:p>
              </w:tc>
              <w:tc>
                <w:tcPr/>
                <w:p>
                  <w:pPr>
                    <w:pStyle w:val="Compact"/>
                    <w:jc w:val="right"/>
                    <w:jc w:val="center"/>
                  </w:pPr>
                  <w:r>
                    <w:t xml:space="preserve">-0.343</w:t>
                  </w:r>
                </w:p>
              </w:tc>
            </w:tr>
            <w:tr>
              <w:tc>
                <w:tcPr/>
                <w:p>
                  <w:pPr>
                    <w:pStyle w:val="Compact"/>
                    <w:jc w:val="left"/>
                    <w:jc w:val="center"/>
                  </w:pPr>
                  <w:r>
                    <w:t xml:space="preserve">Region: Kinshasa</w:t>
                  </w:r>
                </w:p>
              </w:tc>
              <w:tc>
                <w:tcPr/>
                <w:p>
                  <w:pPr>
                    <w:pStyle w:val="Compact"/>
                    <w:jc w:val="right"/>
                    <w:jc w:val="center"/>
                  </w:pPr>
                  <w:r>
                    <w:t xml:space="preserve">3.221</w:t>
                  </w:r>
                </w:p>
              </w:tc>
              <w:tc>
                <w:tcPr/>
                <w:p>
                  <w:pPr>
                    <w:pStyle w:val="Compact"/>
                    <w:jc w:val="right"/>
                    <w:jc w:val="center"/>
                  </w:pPr>
                  <w:r>
                    <w:t xml:space="preserve">0.647</w:t>
                  </w:r>
                </w:p>
              </w:tc>
              <w:tc>
                <w:tcPr/>
                <w:p>
                  <w:pPr>
                    <w:pStyle w:val="Compact"/>
                    <w:jc w:val="right"/>
                    <w:jc w:val="center"/>
                  </w:pPr>
                  <w:r>
                    <w:t xml:space="preserve">0.647</w:t>
                  </w:r>
                </w:p>
              </w:tc>
              <w:tc>
                <w:tcPr/>
                <w:p>
                  <w:pPr>
                    <w:pStyle w:val="Compact"/>
                    <w:jc w:val="right"/>
                    <w:jc w:val="center"/>
                  </w:pPr>
                  <w:r>
                    <w:t xml:space="preserve">1.246</w:t>
                  </w:r>
                </w:p>
              </w:tc>
              <w:tc>
                <w:tcPr/>
                <w:p>
                  <w:pPr>
                    <w:pStyle w:val="Compact"/>
                    <w:jc w:val="right"/>
                    <w:jc w:val="center"/>
                  </w:pPr>
                  <w:r>
                    <w:t xml:space="preserve">1.246</w:t>
                  </w:r>
                </w:p>
              </w:tc>
              <w:tc>
                <w:tcPr/>
                <w:p>
                  <w:pPr>
                    <w:pStyle w:val="Compact"/>
                    <w:jc w:val="right"/>
                    <w:jc w:val="center"/>
                  </w:pPr>
                  <w:r>
                    <w:t xml:space="preserve">1.246</w:t>
                  </w:r>
                </w:p>
              </w:tc>
              <w:tc>
                <w:tcPr/>
                <w:p>
                  <w:pPr>
                    <w:pStyle w:val="Compact"/>
                    <w:jc w:val="right"/>
                    <w:jc w:val="center"/>
                  </w:pPr>
                  <w:r>
                    <w:t xml:space="preserve">2.054</w:t>
                  </w:r>
                </w:p>
              </w:tc>
            </w:tr>
            <w:tr>
              <w:tc>
                <w:tcPr/>
                <w:p>
                  <w:pPr>
                    <w:pStyle w:val="Compact"/>
                    <w:jc w:val="left"/>
                    <w:jc w:val="center"/>
                  </w:pPr>
                  <w:r>
                    <w:t xml:space="preserve">Region: Sud-Kivu</w:t>
                  </w:r>
                </w:p>
              </w:tc>
              <w:tc>
                <w:tcPr/>
                <w:p>
                  <w:pPr>
                    <w:pStyle w:val="Compact"/>
                    <w:jc w:val="right"/>
                    <w:jc w:val="center"/>
                  </w:pPr>
                  <w:r>
                    <w:t xml:space="preserve">2.006</w:t>
                  </w:r>
                </w:p>
              </w:tc>
              <w:tc>
                <w:tcPr/>
                <w:p>
                  <w:pPr>
                    <w:pStyle w:val="Compact"/>
                    <w:jc w:val="right"/>
                    <w:jc w:val="center"/>
                  </w:pPr>
                  <w:r>
                    <w:t xml:space="preserve">0.213</w:t>
                  </w:r>
                </w:p>
              </w:tc>
              <w:tc>
                <w:tcPr/>
                <w:p>
                  <w:pPr>
                    <w:pStyle w:val="Compact"/>
                    <w:jc w:val="right"/>
                    <w:jc w:val="center"/>
                  </w:pPr>
                  <w:r>
                    <w:t xml:space="preserve">0.213</w:t>
                  </w:r>
                </w:p>
              </w:tc>
              <w:tc>
                <w:tcPr/>
                <w:p>
                  <w:pPr>
                    <w:pStyle w:val="Compact"/>
                    <w:jc w:val="right"/>
                    <w:jc w:val="center"/>
                  </w:pPr>
                  <w:r>
                    <w:t xml:space="preserve">-0.688</w:t>
                  </w:r>
                </w:p>
              </w:tc>
              <w:tc>
                <w:tcPr/>
                <w:p>
                  <w:pPr>
                    <w:pStyle w:val="Compact"/>
                    <w:jc w:val="right"/>
                    <w:jc w:val="center"/>
                  </w:pPr>
                  <w:r>
                    <w:t xml:space="preserve">-0.688</w:t>
                  </w:r>
                </w:p>
              </w:tc>
              <w:tc>
                <w:tcPr/>
                <w:p>
                  <w:pPr>
                    <w:pStyle w:val="Compact"/>
                    <w:jc w:val="right"/>
                    <w:jc w:val="center"/>
                  </w:pPr>
                  <w:r>
                    <w:t xml:space="preserve">-0.688</w:t>
                  </w:r>
                </w:p>
              </w:tc>
              <w:tc>
                <w:tcPr/>
                <w:p>
                  <w:pPr>
                    <w:pStyle w:val="Compact"/>
                    <w:jc w:val="right"/>
                    <w:jc w:val="center"/>
                  </w:pPr>
                  <w:r>
                    <w:t xml:space="preserve">-0.434</w:t>
                  </w:r>
                </w:p>
              </w:tc>
            </w:tr>
            <w:tr>
              <w:tc>
                <w:tcPr/>
                <w:p>
                  <w:pPr>
                    <w:pStyle w:val="Compact"/>
                    <w:jc w:val="left"/>
                    <w:jc w:val="center"/>
                  </w:pPr>
                  <w:r>
                    <w:t xml:space="preserve">Region: Kasai Oriental</w:t>
                  </w:r>
                </w:p>
              </w:tc>
              <w:tc>
                <w:tcPr/>
                <w:p>
                  <w:pPr>
                    <w:pStyle w:val="Compact"/>
                    <w:jc w:val="right"/>
                    <w:jc w:val="center"/>
                  </w:pPr>
                  <w:r>
                    <w:t xml:space="preserve">1.746</w:t>
                  </w:r>
                </w:p>
              </w:tc>
              <w:tc>
                <w:tcPr/>
                <w:p>
                  <w:pPr>
                    <w:pStyle w:val="Compact"/>
                    <w:jc w:val="right"/>
                    <w:jc w:val="center"/>
                  </w:pPr>
                  <w:r>
                    <w:t xml:space="preserve">0.513</w:t>
                  </w:r>
                </w:p>
              </w:tc>
              <w:tc>
                <w:tcPr/>
                <w:p>
                  <w:pPr>
                    <w:pStyle w:val="Compact"/>
                    <w:jc w:val="right"/>
                    <w:jc w:val="center"/>
                  </w:pPr>
                  <w:r>
                    <w:t xml:space="preserve">0.513</w:t>
                  </w:r>
                </w:p>
              </w:tc>
              <w:tc>
                <w:tcPr/>
                <w:p>
                  <w:pPr>
                    <w:pStyle w:val="Compact"/>
                    <w:jc w:val="right"/>
                    <w:jc w:val="center"/>
                  </w:pPr>
                  <w:r>
                    <w:t xml:space="preserve">0.106</w:t>
                  </w:r>
                </w:p>
              </w:tc>
              <w:tc>
                <w:tcPr/>
                <w:p>
                  <w:pPr>
                    <w:pStyle w:val="Compact"/>
                    <w:jc w:val="right"/>
                    <w:jc w:val="center"/>
                  </w:pPr>
                  <w:r>
                    <w:t xml:space="preserve">0.106</w:t>
                  </w:r>
                </w:p>
              </w:tc>
              <w:tc>
                <w:tcPr/>
                <w:p>
                  <w:pPr>
                    <w:pStyle w:val="Compact"/>
                    <w:jc w:val="right"/>
                    <w:jc w:val="center"/>
                  </w:pPr>
                  <w:r>
                    <w:t xml:space="preserve">0.106</w:t>
                  </w:r>
                </w:p>
              </w:tc>
              <w:tc>
                <w:tcPr/>
                <w:p>
                  <w:pPr>
                    <w:pStyle w:val="Compact"/>
                    <w:jc w:val="right"/>
                    <w:jc w:val="center"/>
                  </w:pPr>
                  <w:r>
                    <w:t xml:space="preserve">0.096</w:t>
                  </w:r>
                </w:p>
              </w:tc>
            </w:tr>
            <w:tr>
              <w:tc>
                <w:tcPr/>
                <w:p>
                  <w:pPr>
                    <w:pStyle w:val="Compact"/>
                    <w:jc w:val="left"/>
                    <w:jc w:val="center"/>
                  </w:pPr>
                  <w:r>
                    <w:t xml:space="preserve">Father’s education</w:t>
                  </w:r>
                </w:p>
              </w:tc>
              <w:tc>
                <w:tcPr/>
                <w:p>
                  <w:pPr>
                    <w:pStyle w:val="Compact"/>
                    <w:jc w:val="right"/>
                    <w:jc w:val="center"/>
                  </w:pPr>
                  <w:r>
                    <w:t xml:space="preserve">1.462</w:t>
                  </w:r>
                </w:p>
              </w:tc>
              <w:tc>
                <w:tcPr/>
                <w:p>
                  <w:pPr>
                    <w:pStyle w:val="Compact"/>
                    <w:jc w:val="right"/>
                    <w:jc w:val="center"/>
                  </w:pPr>
                  <w:r>
                    <w:t xml:space="preserve">0.869</w:t>
                  </w:r>
                </w:p>
              </w:tc>
              <w:tc>
                <w:tcPr/>
                <w:p>
                  <w:pPr>
                    <w:pStyle w:val="Compact"/>
                    <w:jc w:val="right"/>
                    <w:jc w:val="center"/>
                  </w:pPr>
                  <w:r>
                    <w:t xml:space="preserve">0.869</w:t>
                  </w:r>
                </w:p>
              </w:tc>
              <w:tc>
                <w:tcPr/>
                <w:p>
                  <w:pPr>
                    <w:pStyle w:val="Compact"/>
                    <w:jc w:val="right"/>
                    <w:jc w:val="center"/>
                  </w:pPr>
                  <w:r>
                    <w:t xml:space="preserve">3.043</w:t>
                  </w:r>
                </w:p>
              </w:tc>
              <w:tc>
                <w:tcPr/>
                <w:p>
                  <w:pPr>
                    <w:pStyle w:val="Compact"/>
                    <w:jc w:val="right"/>
                    <w:jc w:val="center"/>
                  </w:pPr>
                  <w:r>
                    <w:t xml:space="preserve">3.043</w:t>
                  </w:r>
                </w:p>
              </w:tc>
              <w:tc>
                <w:tcPr/>
                <w:p>
                  <w:pPr>
                    <w:pStyle w:val="Compact"/>
                    <w:jc w:val="right"/>
                    <w:jc w:val="center"/>
                  </w:pPr>
                  <w:r>
                    <w:t xml:space="preserve">3.043</w:t>
                  </w:r>
                </w:p>
              </w:tc>
              <w:tc>
                <w:tcPr/>
                <w:p>
                  <w:pPr>
                    <w:pStyle w:val="Compact"/>
                    <w:jc w:val="right"/>
                    <w:jc w:val="center"/>
                  </w:pPr>
                  <w:r>
                    <w:t xml:space="preserve">3.500</w:t>
                  </w:r>
                </w:p>
              </w:tc>
            </w:tr>
            <w:tr>
              <w:tc>
                <w:tcPr/>
                <w:p>
                  <w:pPr>
                    <w:pStyle w:val="Compact"/>
                    <w:jc w:val="left"/>
                    <w:jc w:val="center"/>
                  </w:pPr>
                  <w:r>
                    <w:t xml:space="preserve">Region: Maniema</w:t>
                  </w:r>
                </w:p>
              </w:tc>
              <w:tc>
                <w:tcPr/>
                <w:p>
                  <w:pPr>
                    <w:pStyle w:val="Compact"/>
                    <w:jc w:val="right"/>
                    <w:jc w:val="center"/>
                  </w:pPr>
                  <w:r>
                    <w:t xml:space="preserve">1.075</w:t>
                  </w:r>
                </w:p>
              </w:tc>
              <w:tc>
                <w:tcPr/>
                <w:p>
                  <w:pPr>
                    <w:pStyle w:val="Compact"/>
                    <w:jc w:val="right"/>
                    <w:jc w:val="center"/>
                  </w:pPr>
                  <w:r>
                    <w:t xml:space="preserve">0.083</w:t>
                  </w:r>
                </w:p>
              </w:tc>
              <w:tc>
                <w:tcPr/>
                <w:p>
                  <w:pPr>
                    <w:pStyle w:val="Compact"/>
                    <w:jc w:val="right"/>
                    <w:jc w:val="center"/>
                  </w:pPr>
                  <w:r>
                    <w:t xml:space="preserve">0.083</w:t>
                  </w:r>
                </w:p>
              </w:tc>
              <w:tc>
                <w:tcPr/>
                <w:p>
                  <w:pPr>
                    <w:pStyle w:val="Compact"/>
                    <w:jc w:val="right"/>
                    <w:jc w:val="center"/>
                  </w:pPr>
                  <w:r>
                    <w:t xml:space="preserve">3.124</w:t>
                  </w:r>
                </w:p>
              </w:tc>
              <w:tc>
                <w:tcPr/>
                <w:p>
                  <w:pPr>
                    <w:pStyle w:val="Compact"/>
                    <w:jc w:val="right"/>
                    <w:jc w:val="center"/>
                  </w:pPr>
                  <w:r>
                    <w:t xml:space="preserve">3.124</w:t>
                  </w:r>
                </w:p>
              </w:tc>
              <w:tc>
                <w:tcPr/>
                <w:p>
                  <w:pPr>
                    <w:pStyle w:val="Compact"/>
                    <w:jc w:val="right"/>
                    <w:jc w:val="center"/>
                  </w:pPr>
                  <w:r>
                    <w:t xml:space="preserve">3.124</w:t>
                  </w:r>
                </w:p>
              </w:tc>
              <w:tc>
                <w:tcPr/>
                <w:p>
                  <w:pPr>
                    <w:pStyle w:val="Compact"/>
                    <w:jc w:val="right"/>
                    <w:jc w:val="center"/>
                  </w:pPr>
                  <w:r>
                    <w:t xml:space="preserve">4.218</w:t>
                  </w:r>
                </w:p>
              </w:tc>
            </w:tr>
            <w:tr>
              <w:tc>
                <w:tcPr/>
                <w:p>
                  <w:pPr>
                    <w:pStyle w:val="Compact"/>
                    <w:jc w:val="left"/>
                    <w:jc w:val="center"/>
                  </w:pPr>
                  <w:r>
                    <w:t xml:space="preserve">Region: Orientale</w:t>
                  </w:r>
                </w:p>
              </w:tc>
              <w:tc>
                <w:tcPr/>
                <w:p>
                  <w:pPr>
                    <w:pStyle w:val="Compact"/>
                    <w:jc w:val="right"/>
                    <w:jc w:val="center"/>
                  </w:pPr>
                  <w:r>
                    <w:t xml:space="preserve">0.984</w:t>
                  </w:r>
                </w:p>
              </w:tc>
              <w:tc>
                <w:tcPr/>
                <w:p>
                  <w:pPr>
                    <w:pStyle w:val="Compact"/>
                    <w:jc w:val="right"/>
                    <w:jc w:val="center"/>
                  </w:pPr>
                  <w:r>
                    <w:t xml:space="preserve">0.251</w:t>
                  </w:r>
                </w:p>
              </w:tc>
              <w:tc>
                <w:tcPr/>
                <w:p>
                  <w:pPr>
                    <w:pStyle w:val="Compact"/>
                    <w:jc w:val="right"/>
                    <w:jc w:val="center"/>
                  </w:pPr>
                  <w:r>
                    <w:t xml:space="preserve">0.251</w:t>
                  </w:r>
                </w:p>
              </w:tc>
              <w:tc>
                <w:tcPr/>
                <w:p>
                  <w:pPr>
                    <w:pStyle w:val="Compact"/>
                    <w:jc w:val="right"/>
                    <w:jc w:val="center"/>
                  </w:pPr>
                  <w:r>
                    <w:t xml:space="preserve">0.283</w:t>
                  </w:r>
                </w:p>
              </w:tc>
              <w:tc>
                <w:tcPr/>
                <w:p>
                  <w:pPr>
                    <w:pStyle w:val="Compact"/>
                    <w:jc w:val="right"/>
                    <w:jc w:val="center"/>
                  </w:pPr>
                  <w:r>
                    <w:t xml:space="preserve">0.283</w:t>
                  </w:r>
                </w:p>
              </w:tc>
              <w:tc>
                <w:tcPr/>
                <w:p>
                  <w:pPr>
                    <w:pStyle w:val="Compact"/>
                    <w:jc w:val="right"/>
                    <w:jc w:val="center"/>
                  </w:pPr>
                  <w:r>
                    <w:t xml:space="preserve">0.283</w:t>
                  </w:r>
                </w:p>
              </w:tc>
              <w:tc>
                <w:tcPr/>
                <w:p>
                  <w:pPr>
                    <w:pStyle w:val="Compact"/>
                    <w:jc w:val="right"/>
                    <w:jc w:val="center"/>
                  </w:pPr>
                  <w:r>
                    <w:t xml:space="preserve">0.107</w:t>
                  </w:r>
                </w:p>
              </w:tc>
            </w:tr>
            <w:tr>
              <w:tc>
                <w:tcPr/>
                <w:p>
                  <w:pPr>
                    <w:pStyle w:val="Compact"/>
                    <w:jc w:val="left"/>
                    <w:jc w:val="center"/>
                  </w:pPr>
                  <w:r>
                    <w:t xml:space="preserve">Region: Bas-Congo</w:t>
                  </w:r>
                </w:p>
              </w:tc>
              <w:tc>
                <w:tcPr/>
                <w:p>
                  <w:pPr>
                    <w:pStyle w:val="Compact"/>
                    <w:jc w:val="right"/>
                    <w:jc w:val="center"/>
                  </w:pPr>
                  <w:r>
                    <w:t xml:space="preserve">0.678</w:t>
                  </w:r>
                </w:p>
              </w:tc>
              <w:tc>
                <w:tcPr/>
                <w:p>
                  <w:pPr>
                    <w:pStyle w:val="Compact"/>
                    <w:jc w:val="right"/>
                    <w:jc w:val="center"/>
                  </w:pPr>
                  <w:r>
                    <w:t xml:space="preserve">0.060</w:t>
                  </w:r>
                </w:p>
              </w:tc>
              <w:tc>
                <w:tcPr/>
                <w:p>
                  <w:pPr>
                    <w:pStyle w:val="Compact"/>
                    <w:jc w:val="right"/>
                    <w:jc w:val="center"/>
                  </w:pPr>
                  <w:r>
                    <w:t xml:space="preserve">0.060</w:t>
                  </w:r>
                </w:p>
              </w:tc>
              <w:tc>
                <w:tcPr/>
                <w:p>
                  <w:pPr>
                    <w:pStyle w:val="Compact"/>
                    <w:jc w:val="right"/>
                    <w:jc w:val="center"/>
                  </w:pPr>
                  <w:r>
                    <w:t xml:space="preserve">0.048</w:t>
                  </w:r>
                </w:p>
              </w:tc>
              <w:tc>
                <w:tcPr/>
                <w:p>
                  <w:pPr>
                    <w:pStyle w:val="Compact"/>
                    <w:jc w:val="right"/>
                    <w:jc w:val="center"/>
                  </w:pPr>
                  <w:r>
                    <w:t xml:space="preserve">0.048</w:t>
                  </w:r>
                </w:p>
              </w:tc>
              <w:tc>
                <w:tcPr/>
                <w:p>
                  <w:pPr>
                    <w:pStyle w:val="Compact"/>
                    <w:jc w:val="right"/>
                    <w:jc w:val="center"/>
                  </w:pPr>
                  <w:r>
                    <w:t xml:space="preserve">0.048</w:t>
                  </w:r>
                </w:p>
              </w:tc>
              <w:tc>
                <w:tcPr/>
                <w:p>
                  <w:pPr>
                    <w:pStyle w:val="Compact"/>
                    <w:jc w:val="right"/>
                    <w:jc w:val="center"/>
                  </w:pPr>
                  <w:r>
                    <w:t xml:space="preserve">0.474</w:t>
                  </w:r>
                </w:p>
              </w:tc>
            </w:tr>
            <w:tr>
              <w:tc>
                <w:tcPr/>
                <w:p>
                  <w:pPr>
                    <w:pStyle w:val="Compact"/>
                    <w:jc w:val="left"/>
                    <w:jc w:val="center"/>
                  </w:pPr>
                  <w:r>
                    <w:t xml:space="preserve">Mother’s occupation: Household, unskilled, not working</w:t>
                  </w:r>
                </w:p>
              </w:tc>
              <w:tc>
                <w:tcPr/>
                <w:p>
                  <w:pPr>
                    <w:pStyle w:val="Compact"/>
                    <w:jc w:val="right"/>
                    <w:jc w:val="center"/>
                  </w:pPr>
                  <w:r>
                    <w:t xml:space="preserve">0.599</w:t>
                  </w:r>
                </w:p>
              </w:tc>
              <w:tc>
                <w:tcPr/>
                <w:p>
                  <w:pPr>
                    <w:pStyle w:val="Compact"/>
                    <w:jc w:val="right"/>
                    <w:jc w:val="center"/>
                  </w:pPr>
                  <w:r>
                    <w:t xml:space="preserve">0.306</w:t>
                  </w:r>
                </w:p>
              </w:tc>
              <w:tc>
                <w:tcPr/>
                <w:p>
                  <w:pPr>
                    <w:pStyle w:val="Compact"/>
                    <w:jc w:val="right"/>
                    <w:jc w:val="center"/>
                  </w:pPr>
                  <w:r>
                    <w:t xml:space="preserve">0.306</w:t>
                  </w:r>
                </w:p>
              </w:tc>
              <w:tc>
                <w:tcPr/>
                <w:p>
                  <w:pPr>
                    <w:pStyle w:val="Compact"/>
                    <w:jc w:val="right"/>
                    <w:jc w:val="center"/>
                  </w:pPr>
                  <w:r>
                    <w:t xml:space="preserve">0.094</w:t>
                  </w:r>
                </w:p>
              </w:tc>
              <w:tc>
                <w:tcPr/>
                <w:p>
                  <w:pPr>
                    <w:pStyle w:val="Compact"/>
                    <w:jc w:val="right"/>
                    <w:jc w:val="center"/>
                  </w:pPr>
                  <w:r>
                    <w:t xml:space="preserve">0.094</w:t>
                  </w:r>
                </w:p>
              </w:tc>
              <w:tc>
                <w:tcPr/>
                <w:p>
                  <w:pPr>
                    <w:pStyle w:val="Compact"/>
                    <w:jc w:val="right"/>
                    <w:jc w:val="center"/>
                  </w:pPr>
                  <w:r>
                    <w:t xml:space="preserve">0.094</w:t>
                  </w:r>
                </w:p>
              </w:tc>
              <w:tc>
                <w:tcPr/>
                <w:p>
                  <w:pPr>
                    <w:pStyle w:val="Compact"/>
                    <w:jc w:val="right"/>
                    <w:jc w:val="center"/>
                  </w:pPr>
                  <w:r>
                    <w:t xml:space="preserve">-0.068</w:t>
                  </w:r>
                </w:p>
              </w:tc>
            </w:tr>
            <w:tr>
              <w:tc>
                <w:tcPr/>
                <w:p>
                  <w:pPr>
                    <w:pStyle w:val="Compact"/>
                    <w:jc w:val="left"/>
                    <w:jc w:val="center"/>
                  </w:pPr>
                  <w:r>
                    <w:t xml:space="preserve">Birth order and interval: 5+ short interval</w:t>
                  </w:r>
                </w:p>
              </w:tc>
              <w:tc>
                <w:tcPr/>
                <w:p>
                  <w:pPr>
                    <w:pStyle w:val="Compact"/>
                    <w:jc w:val="right"/>
                    <w:jc w:val="center"/>
                  </w:pPr>
                  <w:r>
                    <w:t xml:space="preserve">0.528</w:t>
                  </w:r>
                </w:p>
              </w:tc>
              <w:tc>
                <w:tcPr/>
                <w:p>
                  <w:pPr>
                    <w:pStyle w:val="Compact"/>
                    <w:jc w:val="right"/>
                    <w:jc w:val="center"/>
                  </w:pPr>
                  <w:r>
                    <w:t xml:space="preserve">0.118</w:t>
                  </w:r>
                </w:p>
              </w:tc>
              <w:tc>
                <w:tcPr/>
                <w:p>
                  <w:pPr>
                    <w:pStyle w:val="Compact"/>
                    <w:jc w:val="right"/>
                    <w:jc w:val="center"/>
                  </w:pPr>
                  <w:r>
                    <w:t xml:space="preserve">0.118</w:t>
                  </w:r>
                </w:p>
              </w:tc>
              <w:tc>
                <w:tcPr/>
                <w:p>
                  <w:pPr>
                    <w:pStyle w:val="Compact"/>
                    <w:jc w:val="right"/>
                    <w:jc w:val="center"/>
                  </w:pPr>
                  <w:r>
                    <w:t xml:space="preserve">1.214</w:t>
                  </w:r>
                </w:p>
              </w:tc>
              <w:tc>
                <w:tcPr/>
                <w:p>
                  <w:pPr>
                    <w:pStyle w:val="Compact"/>
                    <w:jc w:val="right"/>
                    <w:jc w:val="center"/>
                  </w:pPr>
                  <w:r>
                    <w:t xml:space="preserve">1.214</w:t>
                  </w:r>
                </w:p>
              </w:tc>
              <w:tc>
                <w:tcPr/>
                <w:p>
                  <w:pPr>
                    <w:pStyle w:val="Compact"/>
                    <w:jc w:val="right"/>
                    <w:jc w:val="center"/>
                  </w:pPr>
                  <w:r>
                    <w:t xml:space="preserve">1.214</w:t>
                  </w:r>
                </w:p>
              </w:tc>
              <w:tc>
                <w:tcPr/>
                <w:p>
                  <w:pPr>
                    <w:pStyle w:val="Compact"/>
                    <w:jc w:val="right"/>
                    <w:jc w:val="center"/>
                  </w:pPr>
                  <w:r>
                    <w:t xml:space="preserve">4.518</w:t>
                  </w:r>
                </w:p>
              </w:tc>
            </w:tr>
            <w:tr>
              <w:tc>
                <w:tcPr/>
                <w:p>
                  <w:pPr>
                    <w:pStyle w:val="Compact"/>
                    <w:jc w:val="left"/>
                    <w:jc w:val="center"/>
                  </w:pPr>
                  <w:r>
                    <w:t xml:space="preserve">Region: Kasai Occidental</w:t>
                  </w:r>
                </w:p>
              </w:tc>
              <w:tc>
                <w:tcPr/>
                <w:p>
                  <w:pPr>
                    <w:pStyle w:val="Compact"/>
                    <w:jc w:val="right"/>
                    <w:jc w:val="center"/>
                  </w:pPr>
                  <w:r>
                    <w:t xml:space="preserve">0.490</w:t>
                  </w:r>
                </w:p>
              </w:tc>
              <w:tc>
                <w:tcPr/>
                <w:p>
                  <w:pPr>
                    <w:pStyle w:val="Compact"/>
                    <w:jc w:val="right"/>
                    <w:jc w:val="center"/>
                  </w:pPr>
                  <w:r>
                    <w:t xml:space="preserve">0.115</w:t>
                  </w:r>
                </w:p>
              </w:tc>
              <w:tc>
                <w:tcPr/>
                <w:p>
                  <w:pPr>
                    <w:pStyle w:val="Compact"/>
                    <w:jc w:val="right"/>
                    <w:jc w:val="center"/>
                  </w:pPr>
                  <w:r>
                    <w:t xml:space="preserve">0.115</w:t>
                  </w:r>
                </w:p>
              </w:tc>
              <w:tc>
                <w:tcPr/>
                <w:p>
                  <w:pPr>
                    <w:pStyle w:val="Compact"/>
                    <w:jc w:val="right"/>
                    <w:jc w:val="center"/>
                  </w:pPr>
                  <w:r>
                    <w:t xml:space="preserve">0.007</w:t>
                  </w:r>
                </w:p>
              </w:tc>
              <w:tc>
                <w:tcPr/>
                <w:p>
                  <w:pPr>
                    <w:pStyle w:val="Compact"/>
                    <w:jc w:val="right"/>
                    <w:jc w:val="center"/>
                  </w:pPr>
                  <w:r>
                    <w:t xml:space="preserve">0.007</w:t>
                  </w:r>
                </w:p>
              </w:tc>
              <w:tc>
                <w:tcPr/>
                <w:p>
                  <w:pPr>
                    <w:pStyle w:val="Compact"/>
                    <w:jc w:val="right"/>
                    <w:jc w:val="center"/>
                  </w:pPr>
                  <w:r>
                    <w:t xml:space="preserve">0.007</w:t>
                  </w:r>
                </w:p>
              </w:tc>
              <w:tc>
                <w:tcPr/>
                <w:p>
                  <w:pPr>
                    <w:pStyle w:val="Compact"/>
                    <w:jc w:val="right"/>
                    <w:jc w:val="center"/>
                  </w:pPr>
                  <w:r>
                    <w:t xml:space="preserve">0.102</w:t>
                  </w:r>
                </w:p>
              </w:tc>
            </w:tr>
            <w:tr>
              <w:tc>
                <w:tcPr/>
                <w:p>
                  <w:pPr>
                    <w:pStyle w:val="Compact"/>
                    <w:jc w:val="left"/>
                    <w:jc w:val="center"/>
                  </w:pPr>
                  <w:r>
                    <w:t xml:space="preserve">Birth order and interval: 5+ long interval</w:t>
                  </w:r>
                </w:p>
              </w:tc>
              <w:tc>
                <w:tcPr/>
                <w:p>
                  <w:pPr>
                    <w:pStyle w:val="Compact"/>
                    <w:jc w:val="right"/>
                    <w:jc w:val="center"/>
                  </w:pPr>
                  <w:r>
                    <w:t xml:space="preserve">0.437</w:t>
                  </w:r>
                </w:p>
              </w:tc>
              <w:tc>
                <w:tcPr/>
                <w:p>
                  <w:pPr>
                    <w:pStyle w:val="Compact"/>
                    <w:jc w:val="right"/>
                    <w:jc w:val="center"/>
                  </w:pPr>
                  <w:r>
                    <w:t xml:space="preserve">0.253</w:t>
                  </w:r>
                </w:p>
              </w:tc>
              <w:tc>
                <w:tcPr/>
                <w:p>
                  <w:pPr>
                    <w:pStyle w:val="Compact"/>
                    <w:jc w:val="right"/>
                    <w:jc w:val="center"/>
                  </w:pPr>
                  <w:r>
                    <w:t xml:space="preserve">0.253</w:t>
                  </w:r>
                </w:p>
              </w:tc>
              <w:tc>
                <w:tcPr/>
                <w:p>
                  <w:pPr>
                    <w:pStyle w:val="Compact"/>
                    <w:jc w:val="right"/>
                    <w:jc w:val="center"/>
                  </w:pPr>
                  <w:r>
                    <w:t xml:space="preserve">-0.333</w:t>
                  </w:r>
                </w:p>
              </w:tc>
              <w:tc>
                <w:tcPr/>
                <w:p>
                  <w:pPr>
                    <w:pStyle w:val="Compact"/>
                    <w:jc w:val="right"/>
                    <w:jc w:val="center"/>
                  </w:pPr>
                  <w:r>
                    <w:t xml:space="preserve">-0.333</w:t>
                  </w:r>
                </w:p>
              </w:tc>
              <w:tc>
                <w:tcPr/>
                <w:p>
                  <w:pPr>
                    <w:pStyle w:val="Compact"/>
                    <w:jc w:val="right"/>
                    <w:jc w:val="center"/>
                  </w:pPr>
                  <w:r>
                    <w:t xml:space="preserve">-0.333</w:t>
                  </w:r>
                </w:p>
              </w:tc>
              <w:tc>
                <w:tcPr/>
                <w:p>
                  <w:pPr>
                    <w:pStyle w:val="Compact"/>
                    <w:jc w:val="right"/>
                    <w:jc w:val="center"/>
                  </w:pPr>
                  <w:r>
                    <w:t xml:space="preserve">-0.040</w:t>
                  </w:r>
                </w:p>
              </w:tc>
            </w:tr>
            <w:tr>
              <w:tc>
                <w:tcPr/>
                <w:p>
                  <w:pPr>
                    <w:pStyle w:val="Compact"/>
                    <w:jc w:val="left"/>
                    <w:jc w:val="center"/>
                  </w:pPr>
                  <w:r>
                    <w:t xml:space="preserve">Sex of the child</w:t>
                  </w:r>
                </w:p>
              </w:tc>
              <w:tc>
                <w:tcPr/>
                <w:p>
                  <w:pPr>
                    <w:pStyle w:val="Compact"/>
                    <w:jc w:val="right"/>
                    <w:jc w:val="center"/>
                  </w:pPr>
                  <w:r>
                    <w:t xml:space="preserve">0.418</w:t>
                  </w:r>
                </w:p>
              </w:tc>
              <w:tc>
                <w:tcPr/>
                <w:p>
                  <w:pPr>
                    <w:pStyle w:val="Compact"/>
                    <w:jc w:val="right"/>
                    <w:jc w:val="center"/>
                  </w:pPr>
                  <w:r>
                    <w:t xml:space="preserve">0.454</w:t>
                  </w:r>
                </w:p>
              </w:tc>
              <w:tc>
                <w:tcPr/>
                <w:p>
                  <w:pPr>
                    <w:pStyle w:val="Compact"/>
                    <w:jc w:val="right"/>
                    <w:jc w:val="center"/>
                  </w:pPr>
                  <w:r>
                    <w:t xml:space="preserve">0.454</w:t>
                  </w:r>
                </w:p>
              </w:tc>
              <w:tc>
                <w:tcPr/>
                <w:p>
                  <w:pPr>
                    <w:pStyle w:val="Compact"/>
                    <w:jc w:val="right"/>
                    <w:jc w:val="center"/>
                  </w:pPr>
                  <w:r>
                    <w:t xml:space="preserve">0.068</w:t>
                  </w:r>
                </w:p>
              </w:tc>
              <w:tc>
                <w:tcPr/>
                <w:p>
                  <w:pPr>
                    <w:pStyle w:val="Compact"/>
                    <w:jc w:val="right"/>
                    <w:jc w:val="center"/>
                  </w:pPr>
                  <w:r>
                    <w:t xml:space="preserve">0.068</w:t>
                  </w:r>
                </w:p>
              </w:tc>
              <w:tc>
                <w:tcPr/>
                <w:p>
                  <w:pPr>
                    <w:pStyle w:val="Compact"/>
                    <w:jc w:val="right"/>
                    <w:jc w:val="center"/>
                  </w:pPr>
                  <w:r>
                    <w:t xml:space="preserve">0.068</w:t>
                  </w:r>
                </w:p>
              </w:tc>
              <w:tc>
                <w:tcPr/>
                <w:p>
                  <w:pPr>
                    <w:pStyle w:val="Compact"/>
                    <w:jc w:val="right"/>
                    <w:jc w:val="center"/>
                  </w:pPr>
                  <w:r>
                    <w:t xml:space="preserve">-0.005</w:t>
                  </w:r>
                </w:p>
              </w:tc>
            </w:tr>
            <w:tr>
              <w:tc>
                <w:tcPr/>
                <w:p>
                  <w:pPr>
                    <w:pStyle w:val="Compact"/>
                    <w:jc w:val="left"/>
                    <w:jc w:val="center"/>
                  </w:pPr>
                  <w:r>
                    <w:t xml:space="preserve">Region: Katanga</w:t>
                  </w:r>
                </w:p>
              </w:tc>
              <w:tc>
                <w:tcPr/>
                <w:p>
                  <w:pPr>
                    <w:pStyle w:val="Compact"/>
                    <w:jc w:val="right"/>
                    <w:jc w:val="center"/>
                  </w:pPr>
                  <w:r>
                    <w:t xml:space="preserve">0.296</w:t>
                  </w:r>
                </w:p>
              </w:tc>
              <w:tc>
                <w:tcPr/>
                <w:p>
                  <w:pPr>
                    <w:pStyle w:val="Compact"/>
                    <w:jc w:val="right"/>
                    <w:jc w:val="center"/>
                  </w:pPr>
                  <w:r>
                    <w:t xml:space="preserve">0.067</w:t>
                  </w:r>
                </w:p>
              </w:tc>
              <w:tc>
                <w:tcPr/>
                <w:p>
                  <w:pPr>
                    <w:pStyle w:val="Compact"/>
                    <w:jc w:val="right"/>
                    <w:jc w:val="center"/>
                  </w:pPr>
                  <w:r>
                    <w:t xml:space="preserve">0.067</w:t>
                  </w:r>
                </w:p>
              </w:tc>
              <w:tc>
                <w:tcPr/>
                <w:p>
                  <w:pPr>
                    <w:pStyle w:val="Compact"/>
                    <w:jc w:val="right"/>
                    <w:jc w:val="center"/>
                  </w:pPr>
                  <w:r>
                    <w:t xml:space="preserve">-0.155</w:t>
                  </w:r>
                </w:p>
              </w:tc>
              <w:tc>
                <w:tcPr/>
                <w:p>
                  <w:pPr>
                    <w:pStyle w:val="Compact"/>
                    <w:jc w:val="right"/>
                    <w:jc w:val="center"/>
                  </w:pPr>
                  <w:r>
                    <w:t xml:space="preserve">-0.155</w:t>
                  </w:r>
                </w:p>
              </w:tc>
              <w:tc>
                <w:tcPr/>
                <w:p>
                  <w:pPr>
                    <w:pStyle w:val="Compact"/>
                    <w:jc w:val="right"/>
                    <w:jc w:val="center"/>
                  </w:pPr>
                  <w:r>
                    <w:t xml:space="preserve">-0.155</w:t>
                  </w:r>
                </w:p>
              </w:tc>
              <w:tc>
                <w:tcPr/>
                <w:p>
                  <w:pPr>
                    <w:pStyle w:val="Compact"/>
                    <w:jc w:val="right"/>
                    <w:jc w:val="center"/>
                  </w:pPr>
                  <w:r>
                    <w:t xml:space="preserve">-2.068</w:t>
                  </w:r>
                </w:p>
              </w:tc>
            </w:tr>
            <w:tr>
              <w:tc>
                <w:tcPr/>
                <w:p>
                  <w:pPr>
                    <w:pStyle w:val="Compact"/>
                    <w:jc w:val="left"/>
                    <w:jc w:val="center"/>
                  </w:pPr>
                  <w:r>
                    <w:t xml:space="preserve">Mother’s age at birth</w:t>
                  </w:r>
                </w:p>
              </w:tc>
              <w:tc>
                <w:tcPr/>
                <w:p>
                  <w:pPr>
                    <w:pStyle w:val="Compact"/>
                    <w:jc w:val="right"/>
                    <w:jc w:val="center"/>
                  </w:pPr>
                  <w:r>
                    <w:t xml:space="preserve">0.261</w:t>
                  </w:r>
                </w:p>
              </w:tc>
              <w:tc>
                <w:tcPr/>
                <w:p>
                  <w:pPr>
                    <w:pStyle w:val="Compact"/>
                    <w:jc w:val="right"/>
                    <w:jc w:val="center"/>
                  </w:pPr>
                  <w:r>
                    <w:t xml:space="preserve">0.249</w:t>
                  </w:r>
                </w:p>
              </w:tc>
              <w:tc>
                <w:tcPr/>
                <w:p>
                  <w:pPr>
                    <w:pStyle w:val="Compact"/>
                    <w:jc w:val="right"/>
                    <w:jc w:val="center"/>
                  </w:pPr>
                  <w:r>
                    <w:t xml:space="preserve">0.249</w:t>
                  </w:r>
                </w:p>
              </w:tc>
              <w:tc>
                <w:tcPr/>
                <w:p>
                  <w:pPr>
                    <w:pStyle w:val="Compact"/>
                    <w:jc w:val="right"/>
                    <w:jc w:val="center"/>
                  </w:pPr>
                  <w:r>
                    <w:t xml:space="preserve">0.505</w:t>
                  </w:r>
                </w:p>
              </w:tc>
              <w:tc>
                <w:tcPr/>
                <w:p>
                  <w:pPr>
                    <w:pStyle w:val="Compact"/>
                    <w:jc w:val="right"/>
                    <w:jc w:val="center"/>
                  </w:pPr>
                  <w:r>
                    <w:t xml:space="preserve">0.505</w:t>
                  </w:r>
                </w:p>
              </w:tc>
              <w:tc>
                <w:tcPr/>
                <w:p>
                  <w:pPr>
                    <w:pStyle w:val="Compact"/>
                    <w:jc w:val="right"/>
                    <w:jc w:val="center"/>
                  </w:pPr>
                  <w:r>
                    <w:t xml:space="preserve">0.505</w:t>
                  </w:r>
                </w:p>
              </w:tc>
              <w:tc>
                <w:tcPr/>
                <w:p>
                  <w:pPr>
                    <w:pStyle w:val="Compact"/>
                    <w:jc w:val="right"/>
                    <w:jc w:val="center"/>
                  </w:pPr>
                  <w:r>
                    <w:t xml:space="preserve">0.613</w:t>
                  </w:r>
                </w:p>
              </w:tc>
            </w:tr>
            <w:tr>
              <w:tc>
                <w:tcPr/>
                <w:p>
                  <w:pPr>
                    <w:pStyle w:val="Compact"/>
                    <w:jc w:val="left"/>
                    <w:jc w:val="center"/>
                  </w:pPr>
                  <w:r>
                    <w:t xml:space="preserve">Region: Nord-Kivu</w:t>
                  </w:r>
                </w:p>
              </w:tc>
              <w:tc>
                <w:tcPr/>
                <w:p>
                  <w:pPr>
                    <w:pStyle w:val="Compact"/>
                    <w:jc w:val="right"/>
                    <w:jc w:val="center"/>
                  </w:pPr>
                  <w:r>
                    <w:t xml:space="preserve">0.208</w:t>
                  </w:r>
                </w:p>
              </w:tc>
              <w:tc>
                <w:tcPr/>
                <w:p>
                  <w:pPr>
                    <w:pStyle w:val="Compact"/>
                    <w:jc w:val="right"/>
                    <w:jc w:val="center"/>
                  </w:pPr>
                  <w:r>
                    <w:t xml:space="preserve">0.018</w:t>
                  </w:r>
                </w:p>
              </w:tc>
              <w:tc>
                <w:tcPr/>
                <w:p>
                  <w:pPr>
                    <w:pStyle w:val="Compact"/>
                    <w:jc w:val="right"/>
                    <w:jc w:val="center"/>
                  </w:pPr>
                  <w:r>
                    <w:t xml:space="preserve">0.018</w:t>
                  </w:r>
                </w:p>
              </w:tc>
              <w:tc>
                <w:tcPr/>
                <w:p>
                  <w:pPr>
                    <w:pStyle w:val="Compact"/>
                    <w:jc w:val="right"/>
                    <w:jc w:val="center"/>
                  </w:pPr>
                  <w:r>
                    <w:t xml:space="preserve">0.619</w:t>
                  </w:r>
                </w:p>
              </w:tc>
              <w:tc>
                <w:tcPr/>
                <w:p>
                  <w:pPr>
                    <w:pStyle w:val="Compact"/>
                    <w:jc w:val="right"/>
                    <w:jc w:val="center"/>
                  </w:pPr>
                  <w:r>
                    <w:t xml:space="preserve">0.619</w:t>
                  </w:r>
                </w:p>
              </w:tc>
              <w:tc>
                <w:tcPr/>
                <w:p>
                  <w:pPr>
                    <w:pStyle w:val="Compact"/>
                    <w:jc w:val="right"/>
                    <w:jc w:val="center"/>
                  </w:pPr>
                  <w:r>
                    <w:t xml:space="preserve">0.619</w:t>
                  </w:r>
                </w:p>
              </w:tc>
              <w:tc>
                <w:tcPr/>
                <w:p>
                  <w:pPr>
                    <w:pStyle w:val="Compact"/>
                    <w:jc w:val="right"/>
                    <w:jc w:val="center"/>
                  </w:pPr>
                  <w:r>
                    <w:t xml:space="preserve">0.429</w:t>
                  </w:r>
                </w:p>
              </w:tc>
            </w:tr>
            <w:tr>
              <w:tc>
                <w:tcPr/>
                <w:p>
                  <w:pPr>
                    <w:pStyle w:val="Compact"/>
                    <w:jc w:val="left"/>
                    <w:jc w:val="center"/>
                  </w:pPr>
                  <w:r>
                    <w:t xml:space="preserve">Birth order and interval: 2-4 long interval</w:t>
                  </w:r>
                </w:p>
              </w:tc>
              <w:tc>
                <w:tcPr/>
                <w:p>
                  <w:pPr>
                    <w:pStyle w:val="Compact"/>
                    <w:jc w:val="right"/>
                    <w:jc w:val="center"/>
                  </w:pPr>
                  <w:r>
                    <w:t xml:space="preserve">0.154</w:t>
                  </w:r>
                </w:p>
              </w:tc>
              <w:tc>
                <w:tcPr/>
                <w:p>
                  <w:pPr>
                    <w:pStyle w:val="Compact"/>
                    <w:jc w:val="right"/>
                    <w:jc w:val="center"/>
                  </w:pPr>
                  <w:r>
                    <w:t xml:space="preserve">0.115</w:t>
                  </w:r>
                </w:p>
              </w:tc>
              <w:tc>
                <w:tcPr/>
                <w:p>
                  <w:pPr>
                    <w:pStyle w:val="Compact"/>
                    <w:jc w:val="right"/>
                    <w:jc w:val="center"/>
                  </w:pPr>
                  <w:r>
                    <w:t xml:space="preserve">0.115</w:t>
                  </w:r>
                </w:p>
              </w:tc>
              <w:tc>
                <w:tcPr/>
                <w:p>
                  <w:pPr>
                    <w:pStyle w:val="Compact"/>
                    <w:jc w:val="right"/>
                    <w:jc w:val="center"/>
                  </w:pPr>
                  <w:r>
                    <w:t xml:space="preserve">0.409</w:t>
                  </w:r>
                </w:p>
              </w:tc>
              <w:tc>
                <w:tcPr/>
                <w:p>
                  <w:pPr>
                    <w:pStyle w:val="Compact"/>
                    <w:jc w:val="right"/>
                    <w:jc w:val="center"/>
                  </w:pPr>
                  <w:r>
                    <w:t xml:space="preserve">0.409</w:t>
                  </w:r>
                </w:p>
              </w:tc>
              <w:tc>
                <w:tcPr/>
                <w:p>
                  <w:pPr>
                    <w:pStyle w:val="Compact"/>
                    <w:jc w:val="right"/>
                    <w:jc w:val="center"/>
                  </w:pPr>
                  <w:r>
                    <w:t xml:space="preserve">0.409</w:t>
                  </w:r>
                </w:p>
              </w:tc>
              <w:tc>
                <w:tcPr/>
                <w:p>
                  <w:pPr>
                    <w:pStyle w:val="Compact"/>
                    <w:jc w:val="right"/>
                    <w:jc w:val="center"/>
                  </w:pPr>
                  <w:r>
                    <w:t xml:space="preserve">0.106</w:t>
                  </w:r>
                </w:p>
              </w:tc>
            </w:tr>
            <w:tr>
              <w:tc>
                <w:tcPr/>
                <w:p>
                  <w:pPr>
                    <w:pStyle w:val="Compact"/>
                    <w:jc w:val="left"/>
                    <w:jc w:val="center"/>
                  </w:pPr>
                  <w:r>
                    <w:t xml:space="preserve">Birth order and interval: 2-4 short interval</w:t>
                  </w:r>
                </w:p>
              </w:tc>
              <w:tc>
                <w:tcPr/>
                <w:p>
                  <w:pPr>
                    <w:pStyle w:val="Compact"/>
                    <w:jc w:val="right"/>
                    <w:jc w:val="center"/>
                  </w:pPr>
                  <w:r>
                    <w:t xml:space="preserve">0.004</w:t>
                  </w:r>
                </w:p>
              </w:tc>
              <w:tc>
                <w:tcPr/>
                <w:p>
                  <w:pPr>
                    <w:pStyle w:val="Compact"/>
                    <w:jc w:val="right"/>
                    <w:jc w:val="center"/>
                  </w:pPr>
                  <w:r>
                    <w:t xml:space="preserve">0.001</w:t>
                  </w:r>
                </w:p>
              </w:tc>
              <w:tc>
                <w:tcPr/>
                <w:p>
                  <w:pPr>
                    <w:pStyle w:val="Compact"/>
                    <w:jc w:val="right"/>
                    <w:jc w:val="center"/>
                  </w:pPr>
                  <w:r>
                    <w:t xml:space="preserve">0.001</w:t>
                  </w:r>
                </w:p>
              </w:tc>
              <w:tc>
                <w:tcPr/>
                <w:p>
                  <w:pPr>
                    <w:pStyle w:val="Compact"/>
                    <w:jc w:val="right"/>
                    <w:jc w:val="center"/>
                  </w:pPr>
                  <w:r>
                    <w:t xml:space="preserve">0.458</w:t>
                  </w:r>
                </w:p>
              </w:tc>
              <w:tc>
                <w:tcPr/>
                <w:p>
                  <w:pPr>
                    <w:pStyle w:val="Compact"/>
                    <w:jc w:val="right"/>
                    <w:jc w:val="center"/>
                  </w:pPr>
                  <w:r>
                    <w:t xml:space="preserve">0.458</w:t>
                  </w:r>
                </w:p>
              </w:tc>
              <w:tc>
                <w:tcPr/>
                <w:p>
                  <w:pPr>
                    <w:pStyle w:val="Compact"/>
                    <w:jc w:val="right"/>
                    <w:jc w:val="center"/>
                  </w:pPr>
                  <w:r>
                    <w:t xml:space="preserve">0.458</w:t>
                  </w:r>
                </w:p>
              </w:tc>
              <w:tc>
                <w:tcPr/>
                <w:p>
                  <w:pPr>
                    <w:pStyle w:val="Compact"/>
                    <w:jc w:val="right"/>
                    <w:jc w:val="center"/>
                  </w:pPr>
                  <w:r>
                    <w:t xml:space="preserve">0.231</w:t>
                  </w:r>
                </w:p>
              </w:tc>
            </w:tr>
          </w:tbl>
          <w:bookmarkEnd w:id="53"/>
          <w:p/>
        </w:tc>
      </w:tr>
    </w:tbl>
    <w:bookmarkEnd w:id="54"/>
    <w:bookmarkEnd w:id="55"/>
    <w:bookmarkStart w:id="99" w:name="Xf1c305efb2a9219a9b43ba80b5f8046ccc315d2"/>
    <w:p>
      <w:pPr>
        <w:pStyle w:val="Heading2"/>
      </w:pPr>
      <w:r>
        <w:t xml:space="preserve">Direct methods (concentration-index trees and forests)</w:t>
      </w:r>
    </w:p>
    <w:bookmarkStart w:id="62" w:name="rank-dependent-concentration-index-tree"/>
    <w:p>
      <w:pPr>
        <w:pStyle w:val="Heading3"/>
      </w:pPr>
      <w:r>
        <w:t xml:space="preserve">Rank Dependent Concentration-Index Tree</w:t>
      </w:r>
    </w:p>
    <w:bookmarkStart w:id="60" w:name="Xbb2cac1ea5d7a06806a215bc56ff7d0277200f4"/>
    <w:p>
      <w:pPr>
        <w:pStyle w:val="Heading4"/>
      </w:pPr>
      <w:r>
        <w:t xml:space="preserve">The Corrected Concentration-Index Tree</w:t>
      </w:r>
      <w:r>
        <w:t xml:space="preserve"> </w:t>
      </w:r>
      <m:oMath>
        <m:r>
          <m:t>C</m:t>
        </m:r>
        <m:r>
          <m:t>I</m:t>
        </m:r>
        <m:r>
          <m:t>c</m:t>
        </m:r>
      </m:oMath>
    </w:p>
    <w:p>
      <w:pPr>
        <w:pStyle w:val="FirstParagraph"/>
      </w:pPr>
      <w:r>
        <w:t xml:space="preserve">We start with a tree based on the corrected concentration index, appropriate for bounded outcomes</w:t>
      </w:r>
      <w:r>
        <w:t xml:space="preserve">(</w:t>
      </w:r>
      <w:hyperlink w:anchor="ref-erreygers2009correcting">
        <w:r>
          <w:rPr>
            <w:rStyle w:val="Hyperlink"/>
          </w:rPr>
          <w:t xml:space="preserve">Erreygers, 2009</w:t>
        </w:r>
      </w:hyperlink>
      <w:r>
        <w:t xml:space="preserve">)</w:t>
      </w:r>
      <w:r>
        <w:t xml:space="preserve">. In this method, the tree shows that inequality in under-five mortality is structured primarily by maternal education, father’s agricultural occupation, household wealth, skilled birth attendance, and residence in Katanga</w:t>
      </w:r>
      <w:r>
        <w:t xml:space="preserve"> </w:t>
      </w:r>
      <w:hyperlink w:anchor="fig-appendix-ci-tree-cic">
        <w:r>
          <w:rPr>
            <w:rStyle w:val="Hyperlink"/>
          </w:rPr>
          <w:t xml:space="preserve">Figure 4</w:t>
        </w:r>
      </w:hyperlink>
      <w:r>
        <w:t xml:space="preserve">. The lowest-mortality terminal group consists of children whose mothers had some education and whose fathers were not in agriculture, with an under-five mortality rate of about 6.5%. At the opposite end, children whose mothers had no education, who lived in low-wealth households, and who resided in Katanga had the highest mortality rate, about 17.8%. Thus, the corrected rank-dependent tree identifies a clear socioeconomic gradient, but one that is expressed through combinations of education, occupation, household wealth, delivery care, and region rather than through wealth alone.</w:t>
      </w:r>
    </w:p>
    <w:tbl>
      <w:tblPr>
        <w:tblStyle w:val="Table"/>
        <w:tblW w:type="pct" w:w="5000"/>
        <w:tblLayout w:type="fixed"/>
        <w:tblLook w:firstRow="0" w:lastRow="0" w:firstColumn="0" w:lastColumn="0" w:noHBand="0" w:noVBand="0" w:val="0000"/>
      </w:tblPr>
      <w:tblGrid>
        <w:gridCol w:w="7920"/>
      </w:tblGrid>
      <w:tr>
        <w:tc>
          <w:tcPr/>
          <w:bookmarkStart w:id="59" w:name="fig-appendix-ci-tree-cic"/>
          <w:p>
            <w:pPr>
              <w:pStyle w:val="Compact"/>
              <w:jc w:val="center"/>
            </w:pPr>
            <w:r>
              <w:drawing>
                <wp:inline>
                  <wp:extent cx="5334000" cy="2370666"/>
                  <wp:effectExtent b="0" l="0" r="0" t="0"/>
                  <wp:docPr descr="" title="" id="57" name="Picture"/>
                  <a:graphic>
                    <a:graphicData uri="http://schemas.openxmlformats.org/drawingml/2006/picture">
                      <pic:pic>
                        <pic:nvPicPr>
                          <pic:cNvPr descr="MSE_Thesis_Decomposition_of_CI_Trees_MM_files/figure-docx/fig-appendix-ci-tree-cic-1.pdf" id="58" name="Picture"/>
                          <pic:cNvPicPr>
                            <a:picLocks noChangeArrowheads="1" noChangeAspect="1"/>
                          </pic:cNvPicPr>
                        </pic:nvPicPr>
                        <pic:blipFill>
                          <a:blip r:embed="rId56"/>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Concentration-index tree fitted with the CIc criterion.</w:t>
            </w:r>
          </w:p>
          <w:bookmarkEnd w:id="59"/>
        </w:tc>
      </w:tr>
    </w:tbl>
    <w:bookmarkEnd w:id="60"/>
    <w:bookmarkStart w:id="61" w:name="Xee2c0e6f8455a257a6364b20d78b8497e943640"/>
    <w:p>
      <w:pPr>
        <w:pStyle w:val="Heading4"/>
      </w:pPr>
      <w:r>
        <w:t xml:space="preserve">Generalised and standard concentration-index trees</w:t>
      </w:r>
      <w:r>
        <w:t xml:space="preserve"> </w:t>
      </w:r>
      <m:oMath>
        <m:r>
          <m:t>C</m:t>
        </m:r>
        <m:r>
          <m:t>I</m:t>
        </m:r>
        <m:r>
          <m:t>g</m:t>
        </m:r>
      </m:oMath>
      <w:r>
        <w:t xml:space="preserve"> </w:t>
      </w:r>
      <w:r>
        <w:t xml:space="preserve">and</w:t>
      </w:r>
      <w:r>
        <w:t xml:space="preserve"> </w:t>
      </w:r>
      <m:oMath>
        <m:r>
          <m:t>C</m:t>
        </m:r>
        <m:r>
          <m:t>I</m:t>
        </m:r>
      </m:oMath>
    </w:p>
    <w:p>
      <w:pPr>
        <w:pStyle w:val="FirstParagraph"/>
      </w:pPr>
      <w:r>
        <w:t xml:space="preserve">The appendix also shows the trees fitted using the generalised and standard concentration indices. The generalised concentration-index tree is almost identical to the corrected concentration-index tree</w:t>
      </w:r>
      <w:r>
        <w:t xml:space="preserve"> </w:t>
      </w:r>
      <w:hyperlink w:anchor="fig-appendix-ci-tree-cig">
        <w:r>
          <w:rPr>
            <w:rStyle w:val="Hyperlink"/>
          </w:rPr>
          <w:t xml:space="preserve">Figure 18</w:t>
        </w:r>
      </w:hyperlink>
      <w:r>
        <w:t xml:space="preserve">. It again separates children first by maternal education and father’s agricultural occupation, then by skilled birth attendance, household wealth, and residence in Katanga. The mortality pattern is therefore substantively unchanged: the lowest-risk group consists of children whose mothers had some education and whose fathers were not in agriculture, while the highest-risk group consists of children whose mothers had no education, who lived in low-wealth households, and who resided in Katanga, with mortality around 17.8%</w:t>
      </w:r>
      <w:r>
        <w:t xml:space="preserve"> </w:t>
      </w:r>
      <w:hyperlink w:anchor="fig-appendix-ci-tree-cig">
        <w:r>
          <w:rPr>
            <w:rStyle w:val="Hyperlink"/>
          </w:rPr>
          <w:t xml:space="preserve">Figure 18</w:t>
        </w:r>
      </w:hyperlink>
      <w:r>
        <w:t xml:space="preserve">. The standard concentration-index tree gives a similar structure. However, it adds an extra distinction among children whose mothers had some education and whose fathers were not in agriculture, splitting them by short preceding birth interval</w:t>
      </w:r>
      <w:r>
        <w:t xml:space="preserve"> </w:t>
      </w:r>
      <w:hyperlink w:anchor="fig-appendix-ci-tree-ci">
        <w:r>
          <w:rPr>
            <w:rStyle w:val="Hyperlink"/>
          </w:rPr>
          <w:t xml:space="preserve">Figure 19</w:t>
        </w:r>
      </w:hyperlink>
      <w:r>
        <w:t xml:space="preserve">. Children in this otherwise advantaged group without a short birth interval have the lowest mortality, about 6.0%. In contrast, those with a short birth interval have higher mortality, about 11.7%</w:t>
      </w:r>
      <w:r>
        <w:t xml:space="preserve"> </w:t>
      </w:r>
      <w:hyperlink w:anchor="fig-appendix-ci-tree-ci">
        <w:r>
          <w:rPr>
            <w:rStyle w:val="Hyperlink"/>
          </w:rPr>
          <w:t xml:space="preserve">Figure 19</w:t>
        </w:r>
      </w:hyperlink>
      <w:r>
        <w:t xml:space="preserve">. Apart from this additional demographic split, the standard CI tree points to the same main sources of inequality as the corrected and generalised trees: maternal education, father’s agricultural occupation, delivery care, household wealth, and residence in Katanga.</w:t>
      </w:r>
    </w:p>
    <w:bookmarkEnd w:id="61"/>
    <w:bookmarkEnd w:id="62"/>
    <w:bookmarkStart w:id="67" w:name="X3fd88353ebcae18c30364de0c3016e69c0aacc1"/>
    <w:p>
      <w:pPr>
        <w:pStyle w:val="Heading3"/>
      </w:pPr>
      <w:r>
        <w:t xml:space="preserve">Level dependent Concentration-Index Tree</w:t>
      </w:r>
      <w:r>
        <w:t xml:space="preserve"> </w:t>
      </w:r>
      <m:oMath>
        <m:r>
          <m:t>L</m:t>
        </m:r>
      </m:oMath>
    </w:p>
    <w:p>
      <w:pPr>
        <w:pStyle w:val="FirstParagraph"/>
      </w:pPr>
      <w:r>
        <w:t xml:space="preserve">We then fit a tree based on the level-dependent concentration index</w:t>
      </w:r>
      <w:r>
        <w:t xml:space="preserve"> </w:t>
      </w:r>
      <w:r>
        <w:t xml:space="preserve">(</w:t>
      </w:r>
      <w:hyperlink w:anchor="ref-erreygers2017socioeconomic">
        <w:r>
          <w:rPr>
            <w:rStyle w:val="Hyperlink"/>
          </w:rPr>
          <w:t xml:space="preserve">Erreygers and Kessels, 2017</w:t>
        </w:r>
      </w:hyperlink>
      <w:r>
        <w:t xml:space="preserve">)</w:t>
      </w:r>
      <w:r>
        <w:t xml:space="preserve"> </w:t>
      </w:r>
      <w:r>
        <w:t xml:space="preserve">criterion,</w:t>
      </w:r>
      <w:r>
        <w:t xml:space="preserve"> </w:t>
      </w:r>
      <m:oMath>
        <m:r>
          <m:t>L</m:t>
        </m:r>
      </m:oMath>
      <w:r>
        <w:t xml:space="preserve">. In this method, the selected tree shows that inequality in under-five mortality is structured primarily by rural residence, father’s agricultural occupation, household wealth, and province, especially Kinshasa, Equateur, and Katanga</w:t>
      </w:r>
      <w:r>
        <w:t xml:space="preserve"> </w:t>
      </w:r>
      <w:hyperlink w:anchor="fig-results-selected-ci-tree">
        <w:r>
          <w:rPr>
            <w:rStyle w:val="Hyperlink"/>
          </w:rPr>
          <w:t xml:space="preserve">Figure 5</w:t>
        </w:r>
      </w:hyperlink>
      <w:r>
        <w:t xml:space="preserve">. The lowest-mortality terminal group consists of urban children in Kinshasa whose fathers were not in agriculture, with an under-five mortality rate of about 5.1%. The highest-mortality terminal group consists of rural children living in low-wealth households in Katanga, with an under-five mortality rate of about 18.5%. Thus, the level-dependent tree tells a more spatial story of inequality: mortality risk is first organised by the rural-urban divide, then by occupation, wealth, and region. This shows that the level-dependent method found a different structure compared to the rank-dependent methods</w:t>
      </w:r>
    </w:p>
    <w:tbl>
      <w:tblPr>
        <w:tblStyle w:val="Table"/>
        <w:tblW w:type="pct" w:w="5000"/>
        <w:tblLayout w:type="fixed"/>
        <w:tblLook w:firstRow="0" w:lastRow="0" w:firstColumn="0" w:lastColumn="0" w:noHBand="0" w:noVBand="0" w:val="0000"/>
      </w:tblPr>
      <w:tblGrid>
        <w:gridCol w:w="7920"/>
      </w:tblGrid>
      <w:tr>
        <w:tc>
          <w:tcPr/>
          <w:bookmarkStart w:id="66" w:name="fig-results-selected-ci-tree"/>
          <w:p>
            <w:pPr>
              <w:pStyle w:val="Compact"/>
              <w:jc w:val="center"/>
            </w:pPr>
            <w:r>
              <w:drawing>
                <wp:inline>
                  <wp:extent cx="5334000" cy="2667000"/>
                  <wp:effectExtent b="0" l="0" r="0" t="0"/>
                  <wp:docPr descr="" title="" id="64" name="Picture"/>
                  <a:graphic>
                    <a:graphicData uri="http://schemas.openxmlformats.org/drawingml/2006/picture">
                      <pic:pic>
                        <pic:nvPicPr>
                          <pic:cNvPr descr="MSE_Thesis_Decomposition_of_CI_Trees_MM_files/figure-docx/fig-results-selected-ci-tree-1.pdf"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Level dependent concentration-index tree for under-five mortality in the DRC.</w:t>
            </w:r>
          </w:p>
          <w:bookmarkEnd w:id="66"/>
        </w:tc>
      </w:tr>
    </w:tbl>
    <w:bookmarkEnd w:id="67"/>
    <w:bookmarkStart w:id="82" w:name="tree-validation-plots"/>
    <w:p>
      <w:pPr>
        <w:pStyle w:val="Heading3"/>
      </w:pPr>
      <w:r>
        <w:t xml:space="preserve">Tree validation plots</w:t>
      </w:r>
    </w:p>
    <w:p>
      <w:pPr>
        <w:pStyle w:val="FirstParagraph"/>
      </w:pPr>
      <w:r>
        <w:t xml:space="preserve">The rank-dependent trees performed well on the training data but poorly on the validation data. The CI, CIc, and CIg trees removed approximately 87 to 88% of root-node inequality during training, but had negative validation gains at the selected settings: -75.5% for CI and -73.1% for both CIc and CIg</w:t>
      </w:r>
      <w:r>
        <w:t xml:space="preserve"> </w:t>
      </w:r>
      <w:hyperlink w:anchor="fig-appendix-tree-validation-path">
        <w:r>
          <w:rPr>
            <w:rStyle w:val="Hyperlink"/>
          </w:rPr>
          <w:t xml:space="preserve">Figure 6</w:t>
        </w:r>
      </w:hyperlink>
      <w:r>
        <w:t xml:space="preserve">, </w:t>
      </w:r>
      <w:hyperlink w:anchor="X2ecc647078c6f204983c407a7f2a7522ea4dd98">
        <w:r>
          <w:rPr>
            <w:rStyle w:val="Hyperlink"/>
          </w:rPr>
          <w:t xml:space="preserve">Table 7</w:t>
        </w:r>
      </w:hyperlink>
      <w:r>
        <w:t xml:space="preserve">. In this criterion, a negative validation gain means that the sum of the terminal-node concentration-index values in the validation fold exceeded the concentration-index value at the root node. Thus, although these trees identified substantial rank-based structure in the fitted sample, the same partitions did not reduce inequality when applied to held-out folds. Unlike rank-dependent trees, the level-dependent tree maintained a positive validation gain throughout the tuning path. At the selected setting, it removed 70.5% of root-node inequality in held-out folds while retaining an average of 6.8 terminal nodes</w:t>
      </w:r>
      <w:r>
        <w:t xml:space="preserve"> </w:t>
      </w:r>
      <w:hyperlink w:anchor="fig-appendix-tree-validation-path">
        <w:r>
          <w:rPr>
            <w:rStyle w:val="Hyperlink"/>
          </w:rPr>
          <w:t xml:space="preserve">Figure 6</w:t>
        </w:r>
      </w:hyperlink>
      <w:r>
        <w:t xml:space="preserve">, </w:t>
      </w:r>
      <w:hyperlink w:anchor="X2ecc647078c6f204983c407a7f2a7522ea4dd98">
        <w:r>
          <w:rPr>
            <w:rStyle w:val="Hyperlink"/>
          </w:rPr>
          <w:t xml:space="preserve">Table 7</w:t>
        </w:r>
      </w:hyperlink>
      <w:r>
        <w:t xml:space="preserve">. The rural-urban, occupational, wealth, and regional partition identified by the L tree was therefore more stable under the validation criterion used in this thesis.</w:t>
      </w:r>
    </w:p>
    <w:tbl>
      <w:tblPr>
        <w:tblStyle w:val="Table"/>
        <w:tblW w:type="pct" w:w="5000"/>
        <w:tblLayout w:type="fixed"/>
        <w:tblLook w:firstRow="0" w:lastRow="0" w:firstColumn="0" w:lastColumn="0" w:noHBand="0" w:noVBand="0" w:val="0000"/>
      </w:tblPr>
      <w:tblGrid>
        <w:gridCol w:w="7920"/>
      </w:tblGrid>
      <w:tr>
        <w:tc>
          <w:tcPr/>
          <w:bookmarkStart w:id="71" w:name="fig-appendix-tree-validation-path"/>
          <w:p>
            <w:pPr>
              <w:pStyle w:val="Compact"/>
              <w:jc w:val="center"/>
            </w:pPr>
            <w:r>
              <w:drawing>
                <wp:inline>
                  <wp:extent cx="5334000" cy="2543364"/>
                  <wp:effectExtent b="0" l="0" r="0" t="0"/>
                  <wp:docPr descr="" title="" id="69" name="Picture"/>
                  <a:graphic>
                    <a:graphicData uri="http://schemas.openxmlformats.org/drawingml/2006/picture">
                      <pic:pic>
                        <pic:nvPicPr>
                          <pic:cNvPr descr="MSE_Thesis_Decomposition_of_CI_Trees_MM_files/figure-docx/fig-appendix-tree-validation-path-1.pdf" id="70" name="Picture"/>
                          <pic:cNvPicPr>
                            <a:picLocks noChangeArrowheads="1" noChangeAspect="1"/>
                          </pic:cNvPicPr>
                        </pic:nvPicPr>
                        <pic:blipFill>
                          <a:blip r:embed="rId68"/>
                          <a:stretch>
                            <a:fillRect/>
                          </a:stretch>
                        </pic:blipFill>
                        <pic:spPr bwMode="auto">
                          <a:xfrm>
                            <a:off x="0" y="0"/>
                            <a:ext cx="5334000" cy="2543364"/>
                          </a:xfrm>
                          <a:prstGeom prst="rect">
                            <a:avLst/>
                          </a:prstGeom>
                          <a:noFill/>
                          <a:ln w="9525">
                            <a:noFill/>
                            <a:headEnd/>
                            <a:tailEnd/>
                          </a:ln>
                        </pic:spPr>
                      </pic:pic>
                    </a:graphicData>
                  </a:graphic>
                </wp:inline>
              </w:drawing>
            </w:r>
          </w:p>
          <w:p>
            <w:pPr>
              <w:jc w:val="center"/>
            </w:pPr>
            <w:pPr>
              <w:jc w:val="left"/>
              <w:spacing w:before="200"/>
              <w:pStyle w:val="ImageCaption"/>
            </w:pPr>
            <w:r>
              <w:t xml:space="preserve">Figure 6: Tree validation gain and complexity by minimum relative split gain.</w:t>
            </w:r>
          </w:p>
          <w:bookmarkEnd w:id="71"/>
        </w:tc>
      </w:tr>
    </w:tbl>
    <w:bookmarkStart w:id="76" w:name="tree-complexity-plots"/>
    <w:p>
      <w:pPr>
        <w:pStyle w:val="Heading4"/>
      </w:pPr>
      <w:r>
        <w:t xml:space="preserve">Tree complexity plots</w:t>
      </w:r>
    </w:p>
    <w:p>
      <w:pPr>
        <w:pStyle w:val="FirstParagraph"/>
      </w:pPr>
      <w:r>
        <w:t xml:space="preserve">Tree complexity decreased as the minimum relative split gain increased, since larger thresholds allowed only splits that removed a larger share of parent-node impurity</w:t>
      </w:r>
      <w:r>
        <w:t xml:space="preserve"> </w:t>
      </w:r>
      <w:hyperlink w:anchor="fig-appendix-tree-complexity-path">
        <w:r>
          <w:rPr>
            <w:rStyle w:val="Hyperlink"/>
          </w:rPr>
          <w:t xml:space="preserve">Figure 7</w:t>
        </w:r>
      </w:hyperlink>
      <w:r>
        <w:t xml:space="preserve">. The selected trees remained small, with an average of 7.5 terminal nodes for CI, 7.3 for CIc and CIg, and 6.8 for L</w:t>
      </w:r>
      <w:r>
        <w:t xml:space="preserve"> </w:t>
      </w:r>
      <w:hyperlink w:anchor="tbl-appendix-tree-selection">
        <w:r>
          <w:rPr>
            <w:rStyle w:val="Hyperlink"/>
          </w:rPr>
          <w:t xml:space="preserve">Table 8</w:t>
        </w:r>
      </w:hyperlink>
      <w:r>
        <w:t xml:space="preserve">, </w:t>
      </w:r>
      <w:hyperlink w:anchor="fig-appendix-tree-complexity-path">
        <w:r>
          <w:rPr>
            <w:rStyle w:val="Hyperlink"/>
          </w:rPr>
          <w:t xml:space="preserve">Figure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fig-appendix-tree-complexity-path"/>
          <w:p>
            <w:pPr>
              <w:pStyle w:val="Compact"/>
              <w:jc w:val="center"/>
            </w:pPr>
            <w:r>
              <w:drawing>
                <wp:inline>
                  <wp:extent cx="5334000" cy="2543364"/>
                  <wp:effectExtent b="0" l="0" r="0" t="0"/>
                  <wp:docPr descr="" title="" id="73" name="Picture"/>
                  <a:graphic>
                    <a:graphicData uri="http://schemas.openxmlformats.org/drawingml/2006/picture">
                      <pic:pic>
                        <pic:nvPicPr>
                          <pic:cNvPr descr="MSE_Thesis_Decomposition_of_CI_Trees_MM_files/figure-docx/fig-appendix-tree-complexity-path-1.pdf" id="74" name="Picture"/>
                          <pic:cNvPicPr>
                            <a:picLocks noChangeArrowheads="1" noChangeAspect="1"/>
                          </pic:cNvPicPr>
                        </pic:nvPicPr>
                        <pic:blipFill>
                          <a:blip r:embed="rId72"/>
                          <a:stretch>
                            <a:fillRect/>
                          </a:stretch>
                        </pic:blipFill>
                        <pic:spPr bwMode="auto">
                          <a:xfrm>
                            <a:off x="0" y="0"/>
                            <a:ext cx="5334000" cy="2543364"/>
                          </a:xfrm>
                          <a:prstGeom prst="rect">
                            <a:avLst/>
                          </a:prstGeom>
                          <a:noFill/>
                          <a:ln w="9525">
                            <a:noFill/>
                            <a:headEnd/>
                            <a:tailEnd/>
                          </a:ln>
                        </pic:spPr>
                      </pic:pic>
                    </a:graphicData>
                  </a:graphic>
                </wp:inline>
              </w:drawing>
            </w:r>
          </w:p>
          <w:p>
            <w:pPr>
              <w:jc w:val="center"/>
            </w:pPr>
            <w:pPr>
              <w:jc w:val="left"/>
              <w:spacing w:before="200"/>
              <w:pStyle w:val="ImageCaption"/>
            </w:pPr>
            <w:r>
              <w:t xml:space="preserve">Figure 7: Tree complexity by number of terminal nodes.</w:t>
            </w:r>
          </w:p>
          <w:bookmarkEnd w:id="75"/>
        </w:tc>
      </w:tr>
    </w:tbl>
    <w:bookmarkEnd w:id="76"/>
    <w:bookmarkStart w:id="81" w:name="rpart-comparison"/>
    <w:p>
      <w:pPr>
        <w:pStyle w:val="Heading4"/>
      </w:pPr>
      <w:r>
        <w:t xml:space="preserve">Rpart comparison</w:t>
      </w:r>
    </w:p>
    <w:p>
      <w:pPr>
        <w:pStyle w:val="FirstParagraph"/>
      </w:pPr>
      <w:r>
        <w:t xml:space="preserve">The rpart comparison tree recovered the same upper-level structure as the main CI tree (</w:t>
      </w:r>
      <w:hyperlink w:anchor="fig-appendix-ci-tree-ci">
        <w:r>
          <w:rPr>
            <w:rStyle w:val="Hyperlink"/>
          </w:rPr>
          <w:t xml:space="preserve">Figure 19</w:t>
        </w:r>
      </w:hyperlink>
      <w:r>
        <w:t xml:space="preserve">;</w:t>
      </w:r>
      <w:r>
        <w:t xml:space="preserve"> </w:t>
      </w:r>
      <w:hyperlink w:anchor="fig-appendix-lecturer-rpart-robust">
        <w:r>
          <w:rPr>
            <w:rStyle w:val="Hyperlink"/>
          </w:rPr>
          <w:t xml:space="preserve">Figure 8</w:t>
        </w:r>
      </w:hyperlink>
      <w:r>
        <w:t xml:space="preserve">). Both trees first split on maternal education, then separated children by father’s agricultural occupation among those whose mothers had some education, and by household wealth among those whose mothers had no education. The high-mortality branch was also similar, identifying children whose mothers had no education, who lived in low-wealth households, and who resided in Katanga. The main difference was in the lower branches: the rpart comparison introduced a split by long preceding birth interval, while the main CI tree used a short preceding birth-interval split. This suggests that the main rank-dependent structure was not driven only by the custom implementation, although some lower-level refinements depended on the tree-growing and stopping rules.</w:t>
      </w:r>
    </w:p>
    <w:tbl>
      <w:tblPr>
        <w:tblStyle w:val="Table"/>
        <w:tblW w:type="pct" w:w="5000"/>
        <w:tblLayout w:type="fixed"/>
        <w:tblLook w:firstRow="0" w:lastRow="0" w:firstColumn="0" w:lastColumn="0" w:noHBand="0" w:noVBand="0" w:val="0000"/>
      </w:tblPr>
      <w:tblGrid>
        <w:gridCol w:w="7920"/>
      </w:tblGrid>
      <w:tr>
        <w:tc>
          <w:tcPr/>
          <w:bookmarkStart w:id="80" w:name="fig-appendix-lecturer-rpart-robust"/>
          <w:p>
            <w:pPr>
              <w:pStyle w:val="Compact"/>
              <w:jc w:val="center"/>
            </w:pPr>
            <w:r>
              <w:drawing>
                <wp:inline>
                  <wp:extent cx="5334000" cy="2963333"/>
                  <wp:effectExtent b="0" l="0" r="0" t="0"/>
                  <wp:docPr descr="" title="" id="78" name="Picture"/>
                  <a:graphic>
                    <a:graphicData uri="http://schemas.openxmlformats.org/drawingml/2006/picture">
                      <pic:pic>
                        <pic:nvPicPr>
                          <pic:cNvPr descr="MSE_Thesis_Decomposition_of_CI_Trees_MM_files/figure-docx/fig-appendix-lecturer-rpart-robust-1.pdf" id="79" name="Picture"/>
                          <pic:cNvPicPr>
                            <a:picLocks noChangeArrowheads="1" noChangeAspect="1"/>
                          </pic:cNvPicPr>
                        </pic:nvPicPr>
                        <pic:blipFill>
                          <a:blip r:embed="rId77"/>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8: Rpart comparison tree using CI impurity.</w:t>
            </w:r>
          </w:p>
          <w:bookmarkEnd w:id="80"/>
        </w:tc>
      </w:tr>
    </w:tbl>
    <w:bookmarkEnd w:id="81"/>
    <w:bookmarkEnd w:id="82"/>
    <w:bookmarkStart w:id="93" w:name="X23dc0cdf111c6fbb5e7e89b3343e42f9d62664b"/>
    <w:p>
      <w:pPr>
        <w:pStyle w:val="Heading3"/>
      </w:pPr>
      <w:r>
        <w:t xml:space="preserve">Concentration index forest and surrogate tree</w:t>
      </w:r>
    </w:p>
    <w:bookmarkStart w:id="87" w:name="forest-validation-plots"/>
    <w:p>
      <w:pPr>
        <w:pStyle w:val="Heading4"/>
      </w:pPr>
      <w:r>
        <w:t xml:space="preserve">Forest validation plots</w:t>
      </w:r>
    </w:p>
    <w:p>
      <w:pPr>
        <w:pStyle w:val="FirstParagraph"/>
      </w:pPr>
      <w:r>
        <w:t xml:space="preserve">We evaluated concentration-index forests using the same validation criterion as the single trees. For the forests, the minimum relative split gain was tuned to 0.35, since larger values produced near-root-only forests with mean terminal-node counts close to 1. At that point, further validation failed to reveal a meaningful structure.</w:t>
      </w:r>
      <w:r>
        <w:t xml:space="preserve"> </w:t>
      </w:r>
      <w:r>
        <w:t xml:space="preserve">For the rank-dependent criteria, the forests reduced overfitting but did not stabilise the partitions. The CI, CIc, and CIg forests removed 29.6%, 38.5%, and 38.7% of root-node inequality in training, compared with about 87 to 88% for the corresponding single trees</w:t>
      </w:r>
      <w:r>
        <w:t xml:space="preserve"> </w:t>
      </w:r>
      <w:hyperlink w:anchor="Xbc8578b1a3ced7dc02b008838aaa5458e5149e7">
        <w:r>
          <w:rPr>
            <w:rStyle w:val="Hyperlink"/>
          </w:rPr>
          <w:t xml:space="preserve">Table 10</w:t>
        </w:r>
      </w:hyperlink>
      <w:r>
        <w:t xml:space="preserve">, </w:t>
      </w:r>
      <w:hyperlink w:anchor="X2ecc647078c6f204983c407a7f2a7522ea4dd98">
        <w:r>
          <w:rPr>
            <w:rStyle w:val="Hyperlink"/>
          </w:rPr>
          <w:t xml:space="preserve">Table 7</w:t>
        </w:r>
      </w:hyperlink>
      <w:r>
        <w:t xml:space="preserve">. Their validation gains remained negative: -25.0% for CI, -28.1% for CIc, and -34.7% for CIg</w:t>
      </w:r>
      <w:r>
        <w:t xml:space="preserve"> </w:t>
      </w:r>
      <w:hyperlink w:anchor="fig-appendix-forest-validation-path">
        <w:r>
          <w:rPr>
            <w:rStyle w:val="Hyperlink"/>
          </w:rPr>
          <w:t xml:space="preserve">Figure 9</w:t>
        </w:r>
      </w:hyperlink>
      <w:r>
        <w:t xml:space="preserve">, </w:t>
      </w:r>
      <w:hyperlink w:anchor="Xbc8578b1a3ced7dc02b008838aaa5458e5149e7">
        <w:r>
          <w:rPr>
            <w:rStyle w:val="Hyperlink"/>
          </w:rPr>
          <w:t xml:space="preserve">Table 10</w:t>
        </w:r>
      </w:hyperlink>
      <w:r>
        <w:t xml:space="preserve">. Thus, averaging across trees reduced the validation loss, but did not produce a reproducible rank-dependent subgroup structure.</w:t>
      </w:r>
      <w:r>
        <w:t xml:space="preserve"> </w:t>
      </w:r>
      <w:r>
        <w:t xml:space="preserve">The tuning path shows the trade-off. Validation gain improved as the minimum relative split gain increased, but the component trees also became shallower</w:t>
      </w:r>
      <w:r>
        <w:t xml:space="preserve"> </w:t>
      </w:r>
      <w:hyperlink w:anchor="fig-appendix-forest-validation-path">
        <w:r>
          <w:rPr>
            <w:rStyle w:val="Hyperlink"/>
          </w:rPr>
          <w:t xml:space="preserve">Figure 9</w:t>
        </w:r>
      </w:hyperlink>
      <w:r>
        <w:t xml:space="preserve">, </w:t>
      </w:r>
      <w:hyperlink w:anchor="fig-appendix-forest-complexity-path">
        <w:r>
          <w:rPr>
            <w:rStyle w:val="Hyperlink"/>
          </w:rPr>
          <w:t xml:space="preserve">Figure 21</w:t>
        </w:r>
      </w:hyperlink>
      <w:r>
        <w:t xml:space="preserve">. At the selected setting, the mean terminal-node counts were 2.4 for CI, 2.9 for CIc, and 2.9 for CIg</w:t>
      </w:r>
      <w:r>
        <w:t xml:space="preserve"> </w:t>
      </w:r>
      <w:hyperlink w:anchor="tbl-appendix-forest-selection">
        <w:r>
          <w:rPr>
            <w:rStyle w:val="Hyperlink"/>
          </w:rPr>
          <w:t xml:space="preserve">Table 11</w:t>
        </w:r>
      </w:hyperlink>
      <w:r>
        <w:t xml:space="preserve">.</w:t>
      </w:r>
      <w:r>
        <w:t xml:space="preserve"> </w:t>
      </w:r>
      <w:r>
        <w:t xml:space="preserve">The level-dependent forest remained more stable. It removed 95.1% of root-node inequality in training and 69.7% in validation</w:t>
      </w:r>
      <w:r>
        <w:t xml:space="preserve"> </w:t>
      </w:r>
      <w:hyperlink w:anchor="Xbc8578b1a3ced7dc02b008838aaa5458e5149e7">
        <w:r>
          <w:rPr>
            <w:rStyle w:val="Hyperlink"/>
          </w:rPr>
          <w:t xml:space="preserve">Table 10</w:t>
        </w:r>
      </w:hyperlink>
      <w:r>
        <w:t xml:space="preserve">. The selected L forest had an average of 4.1 terminal nodes per tree, compared with 6.8 for the selected L tree</w:t>
      </w:r>
      <w:r>
        <w:t xml:space="preserve"> </w:t>
      </w:r>
      <w:hyperlink w:anchor="tbl-appendix-forest-selection">
        <w:r>
          <w:rPr>
            <w:rStyle w:val="Hyperlink"/>
          </w:rPr>
          <w:t xml:space="preserve">Table 11</w:t>
        </w:r>
      </w:hyperlink>
      <w:r>
        <w:t xml:space="preserve">, </w:t>
      </w:r>
      <w:hyperlink w:anchor="tbl-appendix-tree-selection">
        <w:r>
          <w:rPr>
            <w:rStyle w:val="Hyperlink"/>
          </w:rPr>
          <w:t xml:space="preserve">Table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6" w:name="fig-appendix-forest-validation-path"/>
          <w:p>
            <w:pPr>
              <w:pStyle w:val="Compact"/>
              <w:jc w:val="center"/>
            </w:pPr>
            <w:r>
              <w:drawing>
                <wp:inline>
                  <wp:extent cx="5334000" cy="3214529"/>
                  <wp:effectExtent b="0" l="0" r="0" t="0"/>
                  <wp:docPr descr="" title="" id="84" name="Picture"/>
                  <a:graphic>
                    <a:graphicData uri="http://schemas.openxmlformats.org/drawingml/2006/picture">
                      <pic:pic>
                        <pic:nvPicPr>
                          <pic:cNvPr descr="MSE_Thesis_Decomposition_of_CI_Trees_MM_files/figure-docx/fig-appendix-forest-validation-path-1.pdf" id="85" name="Picture"/>
                          <pic:cNvPicPr>
                            <a:picLocks noChangeArrowheads="1" noChangeAspect="1"/>
                          </pic:cNvPicPr>
                        </pic:nvPicPr>
                        <pic:blipFill>
                          <a:blip r:embed="rId83"/>
                          <a:stretch>
                            <a:fillRect/>
                          </a:stretch>
                        </pic:blipFill>
                        <pic:spPr bwMode="auto">
                          <a:xfrm>
                            <a:off x="0" y="0"/>
                            <a:ext cx="5334000" cy="3214529"/>
                          </a:xfrm>
                          <a:prstGeom prst="rect">
                            <a:avLst/>
                          </a:prstGeom>
                          <a:noFill/>
                          <a:ln w="9525">
                            <a:noFill/>
                            <a:headEnd/>
                            <a:tailEnd/>
                          </a:ln>
                        </pic:spPr>
                      </pic:pic>
                    </a:graphicData>
                  </a:graphic>
                </wp:inline>
              </w:drawing>
            </w:r>
          </w:p>
          <w:p>
            <w:pPr>
              <w:jc w:val="center"/>
            </w:pPr>
            <w:pPr>
              <w:jc w:val="left"/>
              <w:spacing w:before="200"/>
              <w:pStyle w:val="ImageCaption"/>
            </w:pPr>
            <w:r>
              <w:t xml:space="preserve">Figure 9: Forest validation gain and complexity by minimum relative split gain.</w:t>
            </w:r>
          </w:p>
          <w:bookmarkEnd w:id="86"/>
        </w:tc>
      </w:tr>
    </w:tbl>
    <w:bookmarkEnd w:id="87"/>
    <w:bookmarkStart w:id="92" w:name="surrogate-trees-from-forest-predictions"/>
    <w:p>
      <w:pPr>
        <w:pStyle w:val="Heading4"/>
      </w:pPr>
      <w:r>
        <w:t xml:space="preserve">Surrogate trees from Forest Predictions</w:t>
      </w:r>
    </w:p>
    <w:p>
      <w:pPr>
        <w:pStyle w:val="FirstParagraph"/>
      </w:pPr>
      <w:r>
        <w:t xml:space="preserve">To interpret the selected forest, we fitted a surrogate tree to summarise its predictions (</w:t>
      </w:r>
      <w:hyperlink w:anchor="fig-results-surrogate-tree">
        <w:r>
          <w:rPr>
            <w:rStyle w:val="Hyperlink"/>
          </w:rPr>
          <w:t xml:space="preserve">Figure 10</w:t>
        </w:r>
      </w:hyperlink>
      <w:r>
        <w:t xml:space="preserve">). The surrogate tree retained the main structure seen in the level-dependent tree.</w:t>
      </w:r>
    </w:p>
    <w:tbl>
      <w:tblPr>
        <w:tblStyle w:val="Table"/>
        <w:tblW w:type="pct" w:w="5000"/>
        <w:tblLayout w:type="fixed"/>
        <w:tblLook w:firstRow="0" w:lastRow="0" w:firstColumn="0" w:lastColumn="0" w:noHBand="0" w:noVBand="0" w:val="0000"/>
      </w:tblPr>
      <w:tblGrid>
        <w:gridCol w:w="7920"/>
      </w:tblGrid>
      <w:tr>
        <w:tc>
          <w:tcPr/>
          <w:bookmarkStart w:id="91" w:name="fig-results-surrogate-tree"/>
          <w:p>
            <w:pPr>
              <w:pStyle w:val="Compact"/>
              <w:jc w:val="center"/>
            </w:pPr>
            <w:r>
              <w:drawing>
                <wp:inline>
                  <wp:extent cx="5334000" cy="2963333"/>
                  <wp:effectExtent b="0" l="0" r="0" t="0"/>
                  <wp:docPr descr="" title="" id="89" name="Picture"/>
                  <a:graphic>
                    <a:graphicData uri="http://schemas.openxmlformats.org/drawingml/2006/picture">
                      <pic:pic>
                        <pic:nvPicPr>
                          <pic:cNvPr descr="MSE_Thesis_Decomposition_of_CI_Trees_MM_files/figure-docx/fig-results-surrogate-tree-1.pdf" id="90" name="Picture"/>
                          <pic:cNvPicPr>
                            <a:picLocks noChangeArrowheads="1" noChangeAspect="1"/>
                          </pic:cNvPicPr>
                        </pic:nvPicPr>
                        <pic:blipFill>
                          <a:blip r:embed="rId88"/>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Surrogate tree summarising the selected concentration-index forest predictions.</w:t>
            </w:r>
          </w:p>
          <w:bookmarkEnd w:id="91"/>
        </w:tc>
      </w:tr>
    </w:tbl>
    <w:p>
      <w:pPr>
        <w:pStyle w:val="BodyText"/>
      </w:pPr>
      <w:r>
        <w:t xml:space="preserve">The first split was type of residence, separating urban and rural children. Among urban children, the main divisions were father’s agricultural occupation and household wealth. Among rural children, the main divisions were household wealth, maternal education, and residence in Katanga. The lowest terminal-node mortality was observed among urban children in the high-wealth branch, while the highest terminal-node mortality was observed among rural, low-wealth children in Katanga. Compared with the single L tree, the surrogate gives a smoother version of the same rural-urban, socioeconomic, and regional pattern, with less extreme terminal-node mortality differences. The criterion-specific forest surrogate trees are shown in the appendix for comparison (</w:t>
      </w:r>
      <w:hyperlink w:anchor="fig-appendix-forest-surrogate-cig">
        <w:r>
          <w:rPr>
            <w:rStyle w:val="Hyperlink"/>
          </w:rPr>
          <w:t xml:space="preserve">Figure 24</w:t>
        </w:r>
      </w:hyperlink>
      <w:r>
        <w:t xml:space="preserve">;</w:t>
      </w:r>
      <w:r>
        <w:t xml:space="preserve"> </w:t>
      </w:r>
      <w:hyperlink w:anchor="fig-appendix-forest-surrogate-cic">
        <w:r>
          <w:rPr>
            <w:rStyle w:val="Hyperlink"/>
          </w:rPr>
          <w:t xml:space="preserve">Figure 25</w:t>
        </w:r>
      </w:hyperlink>
      <w:r>
        <w:t xml:space="preserve">;</w:t>
      </w:r>
      <w:r>
        <w:t xml:space="preserve"> </w:t>
      </w:r>
      <w:hyperlink w:anchor="fig-appendix-forest-surrogate-ci">
        <w:r>
          <w:rPr>
            <w:rStyle w:val="Hyperlink"/>
          </w:rPr>
          <w:t xml:space="preserve">Figure 23</w:t>
        </w:r>
      </w:hyperlink>
      <w:r>
        <w:t xml:space="preserve">).</w:t>
      </w:r>
    </w:p>
    <w:bookmarkEnd w:id="92"/>
    <w:bookmarkEnd w:id="93"/>
    <w:bookmarkStart w:id="98" w:name="variable-importance"/>
    <w:p>
      <w:pPr>
        <w:pStyle w:val="Heading3"/>
      </w:pPr>
      <w:r>
        <w:t xml:space="preserve">Variable importance</w:t>
      </w:r>
    </w:p>
    <w:p>
      <w:pPr>
        <w:pStyle w:val="FirstParagraph"/>
      </w:pPr>
      <w:r>
        <w:t xml:space="preserve">The variable-importance plots support the interpretation of the selected level-dependent models. In both the</w:t>
      </w:r>
      <w:r>
        <w:t xml:space="preserve"> </w:t>
      </w:r>
      <m:oMath>
        <m:r>
          <m:t>L</m:t>
        </m:r>
      </m:oMath>
      <w:r>
        <w:t xml:space="preserve"> </w:t>
      </w:r>
      <w:r>
        <w:t xml:space="preserve">tree and</w:t>
      </w:r>
      <w:r>
        <w:t xml:space="preserve"> </w:t>
      </w:r>
      <m:oMath>
        <m:r>
          <m:t>L</m:t>
        </m:r>
      </m:oMath>
      <w:r>
        <w:t xml:space="preserve"> </w:t>
      </w:r>
      <w:r>
        <w:t xml:space="preserve">forest, the type of residence gives the largest reduction in concentration-index impurity</w:t>
      </w:r>
      <w:r>
        <w:t xml:space="preserve"> </w:t>
      </w:r>
      <w:hyperlink w:anchor="X294f8f136244a5f2cba5a5f6c413c273f29c136">
        <w:r>
          <w:rPr>
            <w:rStyle w:val="Hyperlink"/>
          </w:rPr>
          <w:t xml:space="preserve">Figure 11</w:t>
        </w:r>
      </w:hyperlink>
      <w:r>
        <w:t xml:space="preserve">. In the single tree, residence is followed by father’s agricultural occupation, Kinshasa, household wealth, Equateur, and Katanga, reflecting a structure organised around the rural-urban divide, occupational position, household wealth, and regional differences.</w:t>
      </w:r>
    </w:p>
    <w:tbl>
      <w:tblPr>
        <w:tblStyle w:val="Table"/>
        <w:tblW w:type="pct" w:w="5000"/>
        <w:tblLayout w:type="fixed"/>
        <w:tblLook w:firstRow="0" w:lastRow="0" w:firstColumn="0" w:lastColumn="0" w:noHBand="0" w:noVBand="0" w:val="0000"/>
      </w:tblPr>
      <w:tblGrid>
        <w:gridCol w:w="7920"/>
      </w:tblGrid>
      <w:tr>
        <w:tc>
          <w:tcPr/>
          <w:bookmarkStart w:id="97" w:name="X294f8f136244a5f2cba5a5f6c413c273f29c136"/>
          <w:p>
            <w:pPr>
              <w:pStyle w:val="Compact"/>
              <w:jc w:val="center"/>
            </w:pPr>
            <w:r>
              <w:drawing>
                <wp:inline>
                  <wp:extent cx="5334000" cy="2667000"/>
                  <wp:effectExtent b="0" l="0" r="0" t="0"/>
                  <wp:docPr descr="" title="" id="95" name="Picture"/>
                  <a:graphic>
                    <a:graphicData uri="http://schemas.openxmlformats.org/drawingml/2006/picture">
                      <pic:pic>
                        <pic:nvPicPr>
                          <pic:cNvPr descr="MSE_Thesis_Decomposition_of_CI_Trees_MM_files/figure-docx/fig-results-selected-model-variable-importance-1.pdf" id="96" name="Picture"/>
                          <pic:cNvPicPr>
                            <a:picLocks noChangeArrowheads="1" noChangeAspect="1"/>
                          </pic:cNvPicPr>
                        </pic:nvPicPr>
                        <pic:blipFill>
                          <a:blip r:embed="rId94"/>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Variable importance for the selected concentration-index tree and forest.</w:t>
            </w:r>
          </w:p>
          <w:bookmarkEnd w:id="97"/>
        </w:tc>
      </w:tr>
    </w:tbl>
    <w:p>
      <w:pPr>
        <w:pStyle w:val="BodyText"/>
      </w:pPr>
      <w:r>
        <w:t xml:space="preserve">The</w:t>
      </w:r>
      <w:r>
        <w:t xml:space="preserve"> </w:t>
      </w:r>
      <m:oMath>
        <m:r>
          <m:t>L</m:t>
        </m:r>
      </m:oMath>
      <w:r>
        <w:t xml:space="preserve"> </w:t>
      </w:r>
      <w:r>
        <w:t xml:space="preserve">forest gives a less concentrated ranking than the single tree. Residence is still the first variable, but the forest also gives weight to mother’s agricultural occupation, maternal education, household wealth, father’s agricultural occupation, and regional indicators. In the appendix plots, the same groups of variables appear again under the other criteria: residence, region, occupation, education, and wealth</w:t>
      </w:r>
      <w:r>
        <w:t xml:space="preserve"> </w:t>
      </w:r>
      <w:hyperlink w:anchor="fig-appendix-tree-variable-importance">
        <w:r>
          <w:rPr>
            <w:rStyle w:val="Hyperlink"/>
          </w:rPr>
          <w:t xml:space="preserve">Figure 17</w:t>
        </w:r>
      </w:hyperlink>
      <w:r>
        <w:t xml:space="preserve">, </w:t>
      </w:r>
      <w:hyperlink w:anchor="fig-appendix-forest-variable-importance">
        <w:r>
          <w:rPr>
            <w:rStyle w:val="Hyperlink"/>
          </w:rPr>
          <w:t xml:space="preserve">Figure 22</w:t>
        </w:r>
      </w:hyperlink>
      <w:r>
        <w:t xml:space="preserve">.</w:t>
      </w:r>
    </w:p>
    <w:bookmarkEnd w:id="98"/>
    <w:bookmarkEnd w:id="99"/>
    <w:bookmarkStart w:id="123" w:name="simulation-study"/>
    <w:p>
      <w:pPr>
        <w:pStyle w:val="Heading2"/>
      </w:pPr>
      <w:r>
        <w:t xml:space="preserve">Simulation Study</w:t>
      </w:r>
    </w:p>
    <w:bookmarkStart w:id="117" w:name="null-case"/>
    <w:p>
      <w:pPr>
        <w:pStyle w:val="Heading3"/>
      </w:pPr>
      <w:r>
        <w:t xml:space="preserve">Null case</w:t>
      </w:r>
    </w:p>
    <w:p>
      <w:pPr>
        <w:pStyle w:val="FirstParagraph"/>
      </w:pPr>
      <w:r>
        <w:t xml:space="preserve">From (</w:t>
      </w:r>
      <w:hyperlink w:anchor="fig-results-simulation-null-trees">
        <w:r>
          <w:rPr>
            <w:rStyle w:val="Hyperlink"/>
          </w:rPr>
          <w:t xml:space="preserve">Figure 12</w:t>
        </w:r>
      </w:hyperlink>
      <w:r>
        <w:t xml:space="preserve">) we see that the algorithm developed here did not find a meaningful structure and behaved as expected. This shows that the tree-growing rule does not create subgroup structure when the outcome and socioeconomic ranking are independent, since the tree uses concentraion index as an impurity measure, which measures how sociaeconomic ranking and outcome covary.</w:t>
      </w:r>
    </w:p>
    <w:bookmarkStart w:id="116" w:name="fig-results-simulation-null-tree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103" w:name="fig-results-simulation-null-trees-1"/>
                <w:p>
                  <w:pPr>
                    <w:pStyle w:val="Compact"/>
                    <w:jc w:val="center"/>
                    <w:jc w:val="left"/>
                  </w:pPr>
                  <w:r>
                    <w:drawing>
                      <wp:inline>
                        <wp:extent cx="2971800" cy="2971800"/>
                        <wp:effectExtent b="0" l="0" r="0" t="0"/>
                        <wp:docPr descr="" title="" id="101" name="Picture"/>
                        <a:graphic>
                          <a:graphicData uri="http://schemas.openxmlformats.org/drawingml/2006/picture">
                            <pic:pic>
                              <pic:nvPicPr>
                                <pic:cNvPr descr="MSE_Thesis_Decomposition_of_CI_Trees_MM_files/figure-docx/fig-results-simulation-null-trees-1.pdf" id="102" name="Picture"/>
                                <pic:cNvPicPr>
                                  <a:picLocks noChangeArrowheads="1" noChangeAspect="1"/>
                                </pic:cNvPicPr>
                              </pic:nvPicPr>
                              <pic:blipFill>
                                <a:blip r:embed="rId100"/>
                                <a:stretch>
                                  <a:fillRect/>
                                </a:stretch>
                              </pic:blipFill>
                              <pic:spPr bwMode="auto">
                                <a:xfrm>
                                  <a:off x="0" y="0"/>
                                  <a:ext cx="2971800" cy="29718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CI</w:t>
                  </w:r>
                </w:p>
                <w:bookmarkEnd w:id="103"/>
              </w:tc>
            </w:tr>
          </w:tbl>
          <w:p/>
        </w:tc>
        <w:tc>
          <w:tcPr/>
          <w:tbl>
            <w:tblPr>
              <w:tblStyle w:val="Table"/>
              <w:tblW w:type="pct" w:w="4900"/>
              <w:tblLayout w:type="fixed"/>
              <w:tblLook w:firstRow="0" w:lastRow="0" w:firstColumn="0" w:lastColumn="0" w:noHBand="0" w:noVBand="0" w:val="0000"/>
            </w:tblPr>
            <w:tblGrid>
              <w:gridCol w:w="7761"/>
            </w:tblGrid>
            <w:tr>
              <w:tc>
                <w:tcPr/>
                <w:bookmarkStart w:id="107" w:name="fig-results-simulation-null-trees-2"/>
                <w:p>
                  <w:pPr>
                    <w:pStyle w:val="Compact"/>
                    <w:jc w:val="center"/>
                    <w:jc w:val="left"/>
                  </w:pPr>
                  <w:r>
                    <w:drawing>
                      <wp:inline>
                        <wp:extent cx="2971800" cy="2971800"/>
                        <wp:effectExtent b="0" l="0" r="0" t="0"/>
                        <wp:docPr descr="" title="" id="105" name="Picture"/>
                        <a:graphic>
                          <a:graphicData uri="http://schemas.openxmlformats.org/drawingml/2006/picture">
                            <pic:pic>
                              <pic:nvPicPr>
                                <pic:cNvPr descr="MSE_Thesis_Decomposition_of_CI_Trees_MM_files/figure-docx/fig-results-simulation-null-trees-2.pdf" id="106" name="Picture"/>
                                <pic:cNvPicPr>
                                  <a:picLocks noChangeArrowheads="1" noChangeAspect="1"/>
                                </pic:cNvPicPr>
                              </pic:nvPicPr>
                              <pic:blipFill>
                                <a:blip r:embed="rId104"/>
                                <a:stretch>
                                  <a:fillRect/>
                                </a:stretch>
                              </pic:blipFill>
                              <pic:spPr bwMode="auto">
                                <a:xfrm>
                                  <a:off x="0" y="0"/>
                                  <a:ext cx="2971800" cy="29718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CIg</w:t>
                  </w:r>
                </w:p>
                <w:bookmarkEnd w:id="107"/>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111" w:name="fig-results-simulation-null-trees-3"/>
                <w:p>
                  <w:pPr>
                    <w:pStyle w:val="Compact"/>
                    <w:jc w:val="center"/>
                    <w:jc w:val="left"/>
                  </w:pPr>
                  <w:r>
                    <w:drawing>
                      <wp:inline>
                        <wp:extent cx="2971800" cy="2971800"/>
                        <wp:effectExtent b="0" l="0" r="0" t="0"/>
                        <wp:docPr descr="" title="" id="109" name="Picture"/>
                        <a:graphic>
                          <a:graphicData uri="http://schemas.openxmlformats.org/drawingml/2006/picture">
                            <pic:pic>
                              <pic:nvPicPr>
                                <pic:cNvPr descr="MSE_Thesis_Decomposition_of_CI_Trees_MM_files/figure-docx/fig-results-simulation-null-trees-3.pdf" id="110" name="Picture"/>
                                <pic:cNvPicPr>
                                  <a:picLocks noChangeArrowheads="1" noChangeAspect="1"/>
                                </pic:cNvPicPr>
                              </pic:nvPicPr>
                              <pic:blipFill>
                                <a:blip r:embed="rId108"/>
                                <a:stretch>
                                  <a:fillRect/>
                                </a:stretch>
                              </pic:blipFill>
                              <pic:spPr bwMode="auto">
                                <a:xfrm>
                                  <a:off x="0" y="0"/>
                                  <a:ext cx="2971800" cy="29718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(c) CIc</w:t>
                  </w:r>
                </w:p>
                <w:bookmarkEnd w:id="111"/>
              </w:tc>
            </w:tr>
          </w:tbl>
          <w:p/>
        </w:tc>
        <w:tc>
          <w:tcPr/>
          <w:tbl>
            <w:tblPr>
              <w:tblStyle w:val="Table"/>
              <w:tblW w:type="pct" w:w="4900"/>
              <w:tblLayout w:type="fixed"/>
              <w:tblLook w:firstRow="0" w:lastRow="0" w:firstColumn="0" w:lastColumn="0" w:noHBand="0" w:noVBand="0" w:val="0000"/>
            </w:tblPr>
            <w:tblGrid>
              <w:gridCol w:w="7761"/>
            </w:tblGrid>
            <w:tr>
              <w:tc>
                <w:tcPr/>
                <w:bookmarkStart w:id="115" w:name="fig-results-simulation-null-trees-4"/>
                <w:p>
                  <w:pPr>
                    <w:pStyle w:val="Compact"/>
                    <w:jc w:val="center"/>
                    <w:jc w:val="left"/>
                  </w:pPr>
                  <w:r>
                    <w:drawing>
                      <wp:inline>
                        <wp:extent cx="2971800" cy="2971800"/>
                        <wp:effectExtent b="0" l="0" r="0" t="0"/>
                        <wp:docPr descr="" title="" id="113" name="Picture"/>
                        <a:graphic>
                          <a:graphicData uri="http://schemas.openxmlformats.org/drawingml/2006/picture">
                            <pic:pic>
                              <pic:nvPicPr>
                                <pic:cNvPr descr="MSE_Thesis_Decomposition_of_CI_Trees_MM_files/figure-docx/fig-results-simulation-null-trees-4.pdf" id="114" name="Picture"/>
                                <pic:cNvPicPr>
                                  <a:picLocks noChangeArrowheads="1" noChangeAspect="1"/>
                                </pic:cNvPicPr>
                              </pic:nvPicPr>
                              <pic:blipFill>
                                <a:blip r:embed="rId112"/>
                                <a:stretch>
                                  <a:fillRect/>
                                </a:stretch>
                              </pic:blipFill>
                              <pic:spPr bwMode="auto">
                                <a:xfrm>
                                  <a:off x="0" y="0"/>
                                  <a:ext cx="2971800" cy="29718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(d) L</w:t>
                  </w:r>
                </w:p>
                <w:bookmarkEnd w:id="115"/>
              </w:tc>
            </w:tr>
          </w:tbl>
          <w:p/>
        </w:tc>
      </w:tr>
    </w:tbl>
    <w:p>
      <w:pPr>
        <w:pStyle w:val="BodyText"/>
      </w:pPr>
      <w:pPr>
        <w:spacing w:before="200"/>
        <w:pStyle w:val="ImageCaption"/>
      </w:pPr>
      <w:r>
        <w:t xml:space="preserve">Figure 12: Null simulation concentration-index trees by criterion.</w:t>
      </w:r>
    </w:p>
    <w:bookmarkEnd w:id="116"/>
    <w:bookmarkEnd w:id="117"/>
    <w:bookmarkStart w:id="122" w:name="poor-subgroup-case"/>
    <w:p>
      <w:pPr>
        <w:pStyle w:val="Heading3"/>
      </w:pPr>
      <w:r>
        <w:t xml:space="preserve">Poor subgroup case</w:t>
      </w:r>
    </w:p>
    <w:p>
      <w:pPr>
        <w:pStyle w:val="FirstParagraph"/>
      </w:pPr>
      <w:r>
        <w:t xml:space="preserve">In the positive-control simulation, the method(the concentration index tree with</w:t>
      </w:r>
      <w:r>
        <w:t xml:space="preserve"> </w:t>
      </w:r>
      <m:oMath>
        <m:r>
          <m:t>C</m:t>
        </m:r>
        <m:r>
          <m:t>I</m:t>
        </m:r>
        <m:r>
          <m:t>c</m:t>
        </m:r>
      </m:oMath>
      <w:r>
        <w:t xml:space="preserve"> </w:t>
      </w:r>
      <w:r>
        <w:t xml:space="preserve">as an impurity measure) recovered the planted subgroup structure. The tree first separated urban from rural observations, then split the rural group by province and maternal education (</w:t>
      </w:r>
      <w:hyperlink w:anchor="fig-results-simulation-tree">
        <w:r>
          <w:rPr>
            <w:rStyle w:val="Hyperlink"/>
          </w:rPr>
          <w:t xml:space="preserve">Figure 13</w:t>
        </w:r>
      </w:hyperlink>
      <w:r>
        <w:t xml:space="preserve">). This structure matched the way the simulated outcome was generated: poorer observations in the planted rural, low-education, selected-province subgroup had higher outcome prevalence. The terminal nodes also followed the expected gradient, with the highest prevalence among observations in the most disadvantaged planted subgroup.</w:t>
      </w:r>
    </w:p>
    <w:tbl>
      <w:tblPr>
        <w:tblStyle w:val="Table"/>
        <w:tblW w:type="pct" w:w="5000"/>
        <w:tblLayout w:type="fixed"/>
        <w:tblLook w:firstRow="0" w:lastRow="0" w:firstColumn="0" w:lastColumn="0" w:noHBand="0" w:noVBand="0" w:val="0000"/>
      </w:tblPr>
      <w:tblGrid>
        <w:gridCol w:w="7920"/>
      </w:tblGrid>
      <w:tr>
        <w:tc>
          <w:tcPr/>
          <w:bookmarkStart w:id="121" w:name="fig-results-simulation-tree"/>
          <w:p>
            <w:pPr>
              <w:pStyle w:val="Compact"/>
              <w:jc w:val="center"/>
            </w:pPr>
            <w:r>
              <w:drawing>
                <wp:inline>
                  <wp:extent cx="5334000" cy="2370666"/>
                  <wp:effectExtent b="0" l="0" r="0" t="0"/>
                  <wp:docPr descr="" title="" id="119" name="Picture"/>
                  <a:graphic>
                    <a:graphicData uri="http://schemas.openxmlformats.org/drawingml/2006/picture">
                      <pic:pic>
                        <pic:nvPicPr>
                          <pic:cNvPr descr="MSE_Thesis_Decomposition_of_CI_Trees_MM_files/figure-docx/fig-results-simulation-tree-1.pdf" id="120" name="Picture"/>
                          <pic:cNvPicPr>
                            <a:picLocks noChangeArrowheads="1" noChangeAspect="1"/>
                          </pic:cNvPicPr>
                        </pic:nvPicPr>
                        <pic:blipFill>
                          <a:blip r:embed="rId118"/>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CIc concentration-index tree recovered from simulated data with a known subgroup-generating mechanism.</w:t>
            </w:r>
          </w:p>
          <w:bookmarkEnd w:id="121"/>
        </w:tc>
      </w:tr>
    </w:tbl>
    <w:p>
      <w:pPr>
        <w:pStyle w:val="BodyText"/>
      </w:pPr>
      <w:r>
        <w:t xml:space="preserve">We see the same pattern across the sensitivity plots in the appendix the trees developed using</w:t>
      </w:r>
      <w:r>
        <w:t xml:space="preserve"> </w:t>
      </w:r>
      <m:oMath>
        <m:r>
          <m:t>C</m:t>
        </m:r>
        <m:r>
          <m:t>I</m:t>
        </m:r>
      </m:oMath>
      <w:r>
        <w:t xml:space="preserve">,</w:t>
      </w:r>
      <w:r>
        <w:t xml:space="preserve"> </w:t>
      </w:r>
      <m:oMath>
        <m:r>
          <m:t>C</m:t>
        </m:r>
        <m:r>
          <m:t>I</m:t>
        </m:r>
        <m:r>
          <m:t>g</m:t>
        </m:r>
      </m:oMath>
      <w:r>
        <w:t xml:space="preserve">, and</w:t>
      </w:r>
      <w:r>
        <w:t xml:space="preserve"> </w:t>
      </w:r>
      <m:oMath>
        <m:r>
          <m:t>C</m:t>
        </m:r>
        <m:r>
          <m:t>I</m:t>
        </m:r>
        <m:r>
          <m:t>c</m:t>
        </m:r>
      </m:oMath>
      <w:r>
        <w:t xml:space="preserve">, and</w:t>
      </w:r>
      <w:r>
        <w:t xml:space="preserve"> </w:t>
      </w:r>
      <m:oMath>
        <m:r>
          <m:t>L</m:t>
        </m:r>
      </m:oMath>
      <w:r>
        <w:t xml:space="preserve"> </w:t>
      </w:r>
      <w:r>
        <w:t xml:space="preserve">as impurity measures(</w:t>
      </w:r>
      <w:hyperlink w:anchor="Xb19a5d97e3e86bc9418a745e34d5880cb39e739">
        <w:r>
          <w:rPr>
            <w:rStyle w:val="Hyperlink"/>
          </w:rPr>
          <w:t xml:space="preserve">Figure 27</w:t>
        </w:r>
      </w:hyperlink>
      <w:r>
        <w:t xml:space="preserve">;</w:t>
      </w:r>
      <w:r>
        <w:t xml:space="preserve"> </w:t>
      </w:r>
      <w:hyperlink w:anchor="Xf2e3d97d8c4306368157db2ee998b9240cd052e">
        <w:r>
          <w:rPr>
            <w:rStyle w:val="Hyperlink"/>
          </w:rPr>
          <w:t xml:space="preserve">Figure 28</w:t>
        </w:r>
      </w:hyperlink>
      <w:r>
        <w:t xml:space="preserve">;</w:t>
      </w:r>
      <w:r>
        <w:t xml:space="preserve"> </w:t>
      </w:r>
      <w:hyperlink w:anchor="Xcb55e91654cd3f0b4a2fc8c6cb68e39fa8518c1">
        <w:r>
          <w:rPr>
            <w:rStyle w:val="Hyperlink"/>
          </w:rPr>
          <w:t xml:space="preserve">Figure 29</w:t>
        </w:r>
      </w:hyperlink>
      <w:r>
        <w:t xml:space="preserve">).</w:t>
      </w:r>
    </w:p>
    <w:bookmarkEnd w:id="122"/>
    <w:bookmarkEnd w:id="123"/>
    <w:bookmarkEnd w:id="124"/>
    <w:bookmarkStart w:id="129" w:name="discussion"/>
    <w:p>
      <w:pPr>
        <w:pStyle w:val="Heading1"/>
      </w:pPr>
      <w:r>
        <w:t xml:space="preserve">Discussion</w:t>
      </w:r>
    </w:p>
    <w:bookmarkStart w:id="125" w:name="main-findings"/>
    <w:p>
      <w:pPr>
        <w:pStyle w:val="Heading2"/>
      </w:pPr>
      <w:r>
        <w:t xml:space="preserve">Main findings</w:t>
      </w:r>
    </w:p>
    <w:p>
      <w:pPr>
        <w:pStyle w:val="FirstParagraph"/>
      </w:pPr>
      <w:r>
        <w:t xml:space="preserve">This thesis developed and applied a tree-based model for analysing socioeconomic inequality in under-five mortality using the concentration index impurity. The main finding is that inequality in the DRC data could not be explained by household wealth alone. Under-five mortality was also related to residence, maternal education, skilled birth attendance, parental occupation, and province. Overall, 10.32% of children died before age five. The children who died were more often from low-wealth households, rural households, mothers with no education, births without skilled attendance, and some provinces, especially Katanga. This is in line with earlier DRC work on geographic variation in under-five mortality, and with decomposition studies showing that wealth, education, residence, and occupation contribute to mortality inequalities in African settings</w:t>
      </w:r>
      <w:r>
        <w:t xml:space="preserve"> </w:t>
      </w:r>
      <w:r>
        <w:t xml:space="preserve">(</w:t>
      </w:r>
      <w:hyperlink w:anchor="ref-vanmalderen2013under5">
        <w:r>
          <w:rPr>
            <w:rStyle w:val="Hyperlink"/>
          </w:rPr>
          <w:t xml:space="preserve">Van Malderen, Van Oyen and Speybroeck, 2013</w:t>
        </w:r>
      </w:hyperlink>
      <w:r>
        <w:t xml:space="preserve">;</w:t>
      </w:r>
      <w:r>
        <w:t xml:space="preserve"> </w:t>
      </w:r>
      <w:hyperlink w:anchor="ref-kandala2014drc">
        <w:r>
          <w:rPr>
            <w:rStyle w:val="Hyperlink"/>
          </w:rPr>
          <w:t xml:space="preserve">Kandala</w:t>
        </w:r>
        <w:r>
          <w:rPr>
            <w:rStyle w:val="Hyperlink"/>
          </w:rPr>
          <w:t xml:space="preserve"> </w:t>
        </w:r>
        <w:r>
          <w:rPr>
            <w:rStyle w:val="Hyperlink"/>
            <w:i/>
            <w:iCs/>
          </w:rPr>
          <w:t xml:space="preserve">et al.</w:t>
        </w:r>
        <w:r>
          <w:rPr>
            <w:rStyle w:val="Hyperlink"/>
          </w:rPr>
          <w:t xml:space="preserve">, 2014</w:t>
        </w:r>
      </w:hyperlink>
      <w:r>
        <w:t xml:space="preserve">;</w:t>
      </w:r>
      <w:r>
        <w:t xml:space="preserve"> </w:t>
      </w:r>
      <w:hyperlink w:anchor="ref-vanmalderen2019socioeconomic">
        <w:r>
          <w:rPr>
            <w:rStyle w:val="Hyperlink"/>
          </w:rPr>
          <w:t xml:space="preserve">Van Malderen</w:t>
        </w:r>
        <w:r>
          <w:rPr>
            <w:rStyle w:val="Hyperlink"/>
          </w:rPr>
          <w:t xml:space="preserve"> </w:t>
        </w:r>
        <w:r>
          <w:rPr>
            <w:rStyle w:val="Hyperlink"/>
            <w:i/>
            <w:iCs/>
          </w:rPr>
          <w:t xml:space="preserve">et al.</w:t>
        </w:r>
        <w:r>
          <w:rPr>
            <w:rStyle w:val="Hyperlink"/>
          </w:rPr>
          <w:t xml:space="preserve">, 2019</w:t>
        </w:r>
      </w:hyperlink>
      <w:r>
        <w:t xml:space="preserve">)</w:t>
      </w:r>
      <w:r>
        <w:t xml:space="preserve">.</w:t>
      </w:r>
    </w:p>
    <w:p>
      <w:pPr>
        <w:pStyle w:val="BodyText"/>
      </w:pPr>
      <w:r>
        <w:t xml:space="preserve">The indirect methods provided a variable view of this inequality. In the regression decomposition, mother’s education made the largest contribution, accounting for 23.1% under</w:t>
      </w:r>
      <w:r>
        <w:t xml:space="preserve"> </w:t>
      </w:r>
      <m:oMath>
        <m:r>
          <m:t>C</m:t>
        </m:r>
        <m:r>
          <m:t>I</m:t>
        </m:r>
      </m:oMath>
      <w:r>
        <w:t xml:space="preserve"> </w:t>
      </w:r>
      <w:r>
        <w:t xml:space="preserve">and 28.7% under</w:t>
      </w:r>
      <w:r>
        <w:t xml:space="preserve"> </w:t>
      </w:r>
      <m:oMath>
        <m:r>
          <m:t>C</m:t>
        </m:r>
        <m:r>
          <m:t>I</m:t>
        </m:r>
        <m:r>
          <m:t>g</m:t>
        </m:r>
      </m:oMath>
      <w:r>
        <w:t xml:space="preserve"> </w:t>
      </w:r>
      <w:r>
        <w:t xml:space="preserve">and</w:t>
      </w:r>
      <w:r>
        <w:t xml:space="preserve"> </w:t>
      </w:r>
      <m:oMath>
        <m:r>
          <m:t>C</m:t>
        </m:r>
        <m:r>
          <m:t>I</m:t>
        </m:r>
        <m:r>
          <m:t>c</m:t>
        </m:r>
      </m:oMath>
      <w:r>
        <w:t xml:space="preserve">. Father’s agricultural occupation was the second-largest contributor, accounting for 17.9% under</w:t>
      </w:r>
      <w:r>
        <w:t xml:space="preserve"> </w:t>
      </w:r>
      <m:oMath>
        <m:r>
          <m:t>C</m:t>
        </m:r>
        <m:r>
          <m:t>I</m:t>
        </m:r>
      </m:oMath>
      <w:r>
        <w:t xml:space="preserve"> </w:t>
      </w:r>
      <w:r>
        <w:t xml:space="preserve">and 19.9% under</w:t>
      </w:r>
      <w:r>
        <w:t xml:space="preserve"> </w:t>
      </w:r>
      <m:oMath>
        <m:r>
          <m:t>C</m:t>
        </m:r>
        <m:r>
          <m:t>I</m:t>
        </m:r>
        <m:r>
          <m:t>g</m:t>
        </m:r>
      </m:oMath>
      <w:r>
        <w:t xml:space="preserve"> </w:t>
      </w:r>
      <w:r>
        <w:t xml:space="preserve">and</w:t>
      </w:r>
      <w:r>
        <w:t xml:space="preserve"> </w:t>
      </w:r>
      <m:oMath>
        <m:r>
          <m:t>C</m:t>
        </m:r>
        <m:r>
          <m:t>I</m:t>
        </m:r>
        <m:r>
          <m:t>c</m:t>
        </m:r>
      </m:oMath>
      <w:r>
        <w:t xml:space="preserve">. These results are consistent with earlier decomposition work, which found that household wealth, parental education, occupation, and residence were important contributors to under-five mortality inequality</w:t>
      </w:r>
      <w:r>
        <w:t xml:space="preserve"> </w:t>
      </w:r>
      <w:r>
        <w:t xml:space="preserve">(</w:t>
      </w:r>
      <w:hyperlink w:anchor="ref-vanmalderen2013under5">
        <w:r>
          <w:rPr>
            <w:rStyle w:val="Hyperlink"/>
          </w:rPr>
          <w:t xml:space="preserve">Van Malderen, Van Oyen and Speybroeck, 2013</w:t>
        </w:r>
      </w:hyperlink>
      <w:r>
        <w:t xml:space="preserve">;</w:t>
      </w:r>
      <w:r>
        <w:t xml:space="preserve"> </w:t>
      </w:r>
      <w:hyperlink w:anchor="ref-vanmalderen2019socioeconomic">
        <w:r>
          <w:rPr>
            <w:rStyle w:val="Hyperlink"/>
          </w:rPr>
          <w:t xml:space="preserve">Van Malderen</w:t>
        </w:r>
        <w:r>
          <w:rPr>
            <w:rStyle w:val="Hyperlink"/>
          </w:rPr>
          <w:t xml:space="preserve"> </w:t>
        </w:r>
        <w:r>
          <w:rPr>
            <w:rStyle w:val="Hyperlink"/>
            <w:i/>
            <w:iCs/>
          </w:rPr>
          <w:t xml:space="preserve">et al.</w:t>
        </w:r>
        <w:r>
          <w:rPr>
            <w:rStyle w:val="Hyperlink"/>
          </w:rPr>
          <w:t xml:space="preserve">, 2019</w:t>
        </w:r>
      </w:hyperlink>
      <w:r>
        <w:t xml:space="preserve">)</w:t>
      </w:r>
      <w:r>
        <w:t xml:space="preserve">. The SHAP analysis (from the fitted random forest) gave a less concentrated picture: residence and household wealth each contributed about 12%, followed by mother’s occupation, father’s occupation, mother’s education, and skilled birth attendance. Shap-based decomposition provides an addition to the regression methods by allowing the use of more flexible models such as Random Forests or XGBoost.</w:t>
      </w:r>
    </w:p>
    <w:p>
      <w:pPr>
        <w:pStyle w:val="BodyText"/>
      </w:pPr>
      <w:r>
        <w:t xml:space="preserve">The direct concentration-index trees added the subgroup interpretation that is less visible in the regression-based decomposition. While the indirect methods ranked variables by their contribution to inequality, the trees showed how these variables combined within the data to define groups with different inequality patterns. The rank-dependent trees based on</w:t>
      </w:r>
      <w:r>
        <w:t xml:space="preserve"> </w:t>
      </w:r>
      <m:oMath>
        <m:r>
          <m:t>C</m:t>
        </m:r>
        <m:r>
          <m:t>I</m:t>
        </m:r>
      </m:oMath>
      <w:r>
        <w:t xml:space="preserve">,</w:t>
      </w:r>
      <w:r>
        <w:t xml:space="preserve"> </w:t>
      </w:r>
      <m:oMath>
        <m:r>
          <m:t>C</m:t>
        </m:r>
        <m:r>
          <m:t>I</m:t>
        </m:r>
        <m:r>
          <m:t>g</m:t>
        </m:r>
      </m:oMath>
      <w:r>
        <w:t xml:space="preserve">, and</w:t>
      </w:r>
      <w:r>
        <w:t xml:space="preserve"> </w:t>
      </w:r>
      <m:oMath>
        <m:r>
          <m:t>C</m:t>
        </m:r>
        <m:r>
          <m:t>I</m:t>
        </m:r>
        <m:r>
          <m:t>c</m:t>
        </m:r>
      </m:oMath>
      <w:r>
        <w:t xml:space="preserve"> </w:t>
      </w:r>
      <w:r>
        <w:t xml:space="preserve">identified a structure involving maternal education, father’s agricultural occupation, skilled birth attendance, household wealth, and Katanga. Mortality was lower among children whose mothers had some education and whose fathers were not in agriculture, and higher among children whose mothers had no education, who lived in low-wealth households, and who resided in Katanga. However, these partitions did not validate well. Although the rank-based methods removed about 87% to 88% of root-node inequality in training, their validation gains were negative, suggesting that the strong training structure did not transfer well to held-out folds.</w:t>
      </w:r>
    </w:p>
    <w:bookmarkEnd w:id="125"/>
    <w:bookmarkStart w:id="126" w:name="X16ff8d1c072db1caae52a52a66e104cd691eca8"/>
    <w:p>
      <w:pPr>
        <w:pStyle w:val="Heading2"/>
      </w:pPr>
      <w:r>
        <w:t xml:space="preserve">Rank-dependent and level-dependent views of inequality</w:t>
      </w:r>
    </w:p>
    <w:p>
      <w:pPr>
        <w:pStyle w:val="FirstParagraph"/>
      </w:pPr>
      <w:r>
        <w:t xml:space="preserve">From these analyses, we see differences in the results (</w:t>
      </w:r>
      <w:hyperlink w:anchor="fig-appendix-ci-tree-ci">
        <w:r>
          <w:rPr>
            <w:rStyle w:val="Hyperlink"/>
          </w:rPr>
          <w:t xml:space="preserve">Figure 19</w:t>
        </w:r>
      </w:hyperlink>
      <w:r>
        <w:t xml:space="preserve">;</w:t>
      </w:r>
      <w:r>
        <w:t xml:space="preserve"> </w:t>
      </w:r>
      <w:hyperlink w:anchor="fig-appendix-ci-tree-cig">
        <w:r>
          <w:rPr>
            <w:rStyle w:val="Hyperlink"/>
          </w:rPr>
          <w:t xml:space="preserve">Figure 18</w:t>
        </w:r>
      </w:hyperlink>
      <w:r>
        <w:t xml:space="preserve">;</w:t>
      </w:r>
      <w:r>
        <w:t xml:space="preserve"> </w:t>
      </w:r>
      <w:hyperlink w:anchor="fig-appendix-ci-tree-cic">
        <w:r>
          <w:rPr>
            <w:rStyle w:val="Hyperlink"/>
          </w:rPr>
          <w:t xml:space="preserve">Figure 4</w:t>
        </w:r>
      </w:hyperlink>
      <w:r>
        <w:t xml:space="preserve">) in subgroups formed by the two ways of defining the impurity measure when developing the concentration index tree. In the rank-dependent criteria</w:t>
      </w:r>
      <w:r>
        <w:t xml:space="preserve"> </w:t>
      </w:r>
      <m:oMath>
        <m:r>
          <m:t>C</m:t>
        </m:r>
        <m:r>
          <m:t>I</m:t>
        </m:r>
      </m:oMath>
      <w:r>
        <w:t xml:space="preserve">,</w:t>
      </w:r>
      <w:r>
        <w:t xml:space="preserve"> </w:t>
      </w:r>
      <m:oMath>
        <m:r>
          <m:t>C</m:t>
        </m:r>
        <m:r>
          <m:t>I</m:t>
        </m:r>
        <m:r>
          <m:t>g</m:t>
        </m:r>
      </m:oMath>
      <w:r>
        <w:t xml:space="preserve">, and</w:t>
      </w:r>
      <w:r>
        <w:t xml:space="preserve"> </w:t>
      </w:r>
      <m:oMath>
        <m:r>
          <m:t>C</m:t>
        </m:r>
        <m:r>
          <m:t>I</m:t>
        </m:r>
        <m:r>
          <m:t>c</m:t>
        </m:r>
      </m:oMath>
      <w:r>
        <w:t xml:space="preserve">, a child’s contribution depends on the child’s position in the current node’s socioeconomic ranking. After each split, the children in the new subgroup are ranked again, so the same child can receive a different rank because the comparison group has changed. In the level-dependent criterion, re-ranking is still done but in</w:t>
      </w:r>
      <w:r>
        <w:t xml:space="preserve"> </w:t>
      </w:r>
      <m:oMath>
        <m:r>
          <m:t>L</m:t>
        </m:r>
      </m:oMath>
      <w:r>
        <w:t xml:space="preserve">, the child’s observed socioeconomic level is carried into the subgroup, so a child’s rank also reflects their wealth level.</w:t>
      </w:r>
    </w:p>
    <w:p>
      <w:pPr>
        <w:pStyle w:val="BodyText"/>
      </w:pPr>
      <w:r>
        <w:t xml:space="preserve">The differences also showed up in cross-validation; the level-dependent method outperformed the rank-dependent methods. The rank-dependent trees had strong training performance but negative validation gains, while the level-dependent tree kept a positive validation gain (</w:t>
      </w:r>
      <w:hyperlink w:anchor="fig-appendix-tree-validation-path">
        <w:r>
          <w:rPr>
            <w:rStyle w:val="Hyperlink"/>
          </w:rPr>
          <w:t xml:space="preserve">Figure 6</w:t>
        </w:r>
      </w:hyperlink>
      <w:r>
        <w:t xml:space="preserve">;</w:t>
      </w:r>
      <w:r>
        <w:t xml:space="preserve"> </w:t>
      </w:r>
      <w:hyperlink w:anchor="X2ecc647078c6f204983c407a7f2a7522ea4dd98">
        <w:r>
          <w:rPr>
            <w:rStyle w:val="Hyperlink"/>
          </w:rPr>
          <w:t xml:space="preserve">Table 7</w:t>
        </w:r>
      </w:hyperlink>
      <w:r>
        <w:t xml:space="preserve">). The same pattern was seen in the forests: averaging trees reduced the validation loss for the rank-dependent criteria, but their validation gains remained below zero, whereas the</w:t>
      </w:r>
      <w:r>
        <w:t xml:space="preserve"> </w:t>
      </w:r>
      <m:oMath>
        <m:r>
          <m:t>L</m:t>
        </m:r>
      </m:oMath>
      <w:r>
        <w:t xml:space="preserve"> </w:t>
      </w:r>
      <w:r>
        <w:t xml:space="preserve">forest retained a positive validation gain (</w:t>
      </w:r>
      <w:hyperlink w:anchor="fig-appendix-forest-validation-path">
        <w:r>
          <w:rPr>
            <w:rStyle w:val="Hyperlink"/>
          </w:rPr>
          <w:t xml:space="preserve">Figure 9</w:t>
        </w:r>
      </w:hyperlink>
      <w:r>
        <w:t xml:space="preserve">;</w:t>
      </w:r>
      <w:r>
        <w:t xml:space="preserve"> </w:t>
      </w:r>
      <w:hyperlink w:anchor="Xbc8578b1a3ced7dc02b008838aaa5458e5149e7">
        <w:r>
          <w:rPr>
            <w:rStyle w:val="Hyperlink"/>
          </w:rPr>
          <w:t xml:space="preserve">Table 10</w:t>
        </w:r>
      </w:hyperlink>
      <w:r>
        <w:t xml:space="preserve">). The validation results show that</w:t>
      </w:r>
      <w:r>
        <w:t xml:space="preserve"> </w:t>
      </w:r>
      <m:oMath>
        <m:r>
          <m:t>C</m:t>
        </m:r>
        <m:r>
          <m:t>I</m:t>
        </m:r>
      </m:oMath>
      <w:r>
        <w:t xml:space="preserve">,</w:t>
      </w:r>
      <w:r>
        <w:t xml:space="preserve"> </w:t>
      </w:r>
      <m:oMath>
        <m:r>
          <m:t>C</m:t>
        </m:r>
        <m:r>
          <m:t>I</m:t>
        </m:r>
        <m:r>
          <m:t>g</m:t>
        </m:r>
      </m:oMath>
      <w:r>
        <w:t xml:space="preserve">, and</w:t>
      </w:r>
      <w:r>
        <w:t xml:space="preserve"> </w:t>
      </w:r>
      <m:oMath>
        <m:r>
          <m:t>C</m:t>
        </m:r>
        <m:r>
          <m:t>I</m:t>
        </m:r>
        <m:r>
          <m:t>c</m:t>
        </m:r>
      </m:oMath>
      <w:r>
        <w:t xml:space="preserve"> </w:t>
      </w:r>
      <w:r>
        <w:t xml:space="preserve">identified detailed in-sample subgroup rules, whereas</w:t>
      </w:r>
      <w:r>
        <w:t xml:space="preserve"> </w:t>
      </w:r>
      <m:oMath>
        <m:r>
          <m:t>L</m:t>
        </m:r>
      </m:oMath>
      <w:r>
        <w:t xml:space="preserve"> </w:t>
      </w:r>
      <w:r>
        <w:t xml:space="preserve">produced a more reproducible subgroup structure in this application.</w:t>
      </w:r>
    </w:p>
    <w:p>
      <w:pPr>
        <w:pStyle w:val="BodyText"/>
      </w:pPr>
      <w:r>
        <w:t xml:space="preserve">These results are also mirrored by the subgroup-decomposability argument in</w:t>
      </w:r>
      <w:r>
        <w:t xml:space="preserve"> </w:t>
      </w:r>
      <w:r>
        <w:t xml:space="preserve">(</w:t>
      </w:r>
      <w:hyperlink w:anchor="ref-erreygers2017subgroup">
        <w:r>
          <w:rPr>
            <w:rStyle w:val="Hyperlink"/>
          </w:rPr>
          <w:t xml:space="preserve">Erreygers</w:t>
        </w:r>
        <w:r>
          <w:rPr>
            <w:rStyle w:val="Hyperlink"/>
          </w:rPr>
          <w:t xml:space="preserve"> </w:t>
        </w:r>
        <w:r>
          <w:rPr>
            <w:rStyle w:val="Hyperlink"/>
            <w:i/>
            <w:iCs/>
          </w:rPr>
          <w:t xml:space="preserve">et al.</w:t>
        </w:r>
        <w:r>
          <w:rPr>
            <w:rStyle w:val="Hyperlink"/>
          </w:rPr>
          <w:t xml:space="preserve">, 2017</w:t>
        </w:r>
      </w:hyperlink>
      <w:r>
        <w:t xml:space="preserve">)</w:t>
      </w:r>
      <w:r>
        <w:t xml:space="preserve">. In their comparison of rank-dependent and level-dependent measures, they show that the level-dependent index</w:t>
      </w:r>
      <w:r>
        <w:t xml:space="preserve"> </w:t>
      </w:r>
      <m:oMath>
        <m:r>
          <m:t>L</m:t>
        </m:r>
      </m:oMath>
      <w:r>
        <w:t xml:space="preserve"> </w:t>
      </w:r>
      <w:r>
        <w:t xml:space="preserve">is subgroup-decomposable and rank-dependent measures are more difficult to decompose cleanly across population groups. Decomposability of the level-dependent concentration index shown by</w:t>
      </w:r>
      <w:r>
        <w:t xml:space="preserve"> </w:t>
      </w:r>
      <w:r>
        <w:t xml:space="preserve">(</w:t>
      </w:r>
      <w:hyperlink w:anchor="ref-erreygers2017subgroup">
        <w:r>
          <w:rPr>
            <w:rStyle w:val="Hyperlink"/>
          </w:rPr>
          <w:t xml:space="preserve">Erreygers</w:t>
        </w:r>
        <w:r>
          <w:rPr>
            <w:rStyle w:val="Hyperlink"/>
          </w:rPr>
          <w:t xml:space="preserve"> </w:t>
        </w:r>
        <w:r>
          <w:rPr>
            <w:rStyle w:val="Hyperlink"/>
            <w:i/>
            <w:iCs/>
          </w:rPr>
          <w:t xml:space="preserve">et al.</w:t>
        </w:r>
        <w:r>
          <w:rPr>
            <w:rStyle w:val="Hyperlink"/>
          </w:rPr>
          <w:t xml:space="preserve">, 2017</w:t>
        </w:r>
      </w:hyperlink>
      <w:r>
        <w:t xml:space="preserve">)</w:t>
      </w:r>
      <w:r>
        <w:t xml:space="preserve"> </w:t>
      </w:r>
      <w:r>
        <w:t xml:space="preserve">can also explain why</w:t>
      </w:r>
      <w:r>
        <w:t xml:space="preserve"> </w:t>
      </w:r>
      <m:oMath>
        <m:r>
          <m:t>L</m:t>
        </m:r>
      </m:oMath>
      <w:r>
        <w:t xml:space="preserve"> </w:t>
      </w:r>
      <w:r>
        <w:t xml:space="preserve">performed better as a tree impurity criterion in this application: children inherit their socioeconomic level within each subgroup, rather than being re-weighted only by a new within-node rank. Although the DHS wealth index is an asset-based score</w:t>
      </w:r>
      <w:r>
        <w:t xml:space="preserve">(</w:t>
      </w:r>
      <w:hyperlink w:anchor="ref-dhsprogram_wealth_index_construction">
        <w:r>
          <w:rPr>
            <w:rStyle w:val="Hyperlink"/>
          </w:rPr>
          <w:t xml:space="preserve">The DHS Program, 2007</w:t>
        </w:r>
      </w:hyperlink>
      <w:r>
        <w:t xml:space="preserve">)</w:t>
      </w:r>
      <w:r>
        <w:t xml:space="preserve"> </w:t>
      </w:r>
      <w:r>
        <w:t xml:space="preserve">and</w:t>
      </w:r>
      <w:r>
        <w:t xml:space="preserve"> </w:t>
      </w:r>
      <w:r>
        <w:t xml:space="preserve">(</w:t>
      </w:r>
      <w:hyperlink w:anchor="ref-erreygers2017socioeconomic">
        <w:r>
          <w:rPr>
            <w:rStyle w:val="Hyperlink"/>
          </w:rPr>
          <w:t xml:space="preserve">Erreygers and Kessels, 2017</w:t>
        </w:r>
      </w:hyperlink>
      <w:r>
        <w:t xml:space="preserve">)</w:t>
      </w:r>
      <w:r>
        <w:t xml:space="preserve"> </w:t>
      </w:r>
      <w:r>
        <w:t xml:space="preserve">recommends using Level depedent concentration index(</w:t>
      </w:r>
      <m:oMath>
        <m:r>
          <m:t>L</m:t>
        </m:r>
      </m:oMath>
      <w:r>
        <w:t xml:space="preserve">) with a wealth-ranking variable that has ratio properties. The cross-validation results show that the</w:t>
      </w:r>
      <w:r>
        <w:t xml:space="preserve"> </w:t>
      </w:r>
      <m:oMath>
        <m:r>
          <m:t>L</m:t>
        </m:r>
      </m:oMath>
      <w:r>
        <w:t xml:space="preserve"> </w:t>
      </w:r>
      <w:r>
        <w:t xml:space="preserve">concentration index impurity measure yielded a structure transferable to held-out samples using the DHS wealth score.</w:t>
      </w:r>
    </w:p>
    <w:bookmarkEnd w:id="126"/>
    <w:bookmarkStart w:id="127" w:name="methodological-and-data-limitations"/>
    <w:p>
      <w:pPr>
        <w:pStyle w:val="Heading2"/>
      </w:pPr>
      <w:r>
        <w:t xml:space="preserve">Methodological and data limitations</w:t>
      </w:r>
    </w:p>
    <w:p>
      <w:pPr>
        <w:pStyle w:val="FirstParagraph"/>
      </w:pPr>
      <w:r>
        <w:t xml:space="preserve">This thesis uses DHS survey data from the Democratic Republic of the Congo</w:t>
      </w:r>
      <w:r>
        <w:t xml:space="preserve"> </w:t>
      </w:r>
      <w:r>
        <w:t xml:space="preserve">(</w:t>
      </w:r>
      <w:hyperlink w:anchor="ref-dhs_drc_2007_dataset">
        <w:r>
          <w:rPr>
            <w:rStyle w:val="Hyperlink"/>
          </w:rPr>
          <w:t xml:space="preserve">The DRC Program Program, 2007</w:t>
        </w:r>
      </w:hyperlink>
      <w:r>
        <w:t xml:space="preserve">)</w:t>
      </w:r>
      <w:r>
        <w:t xml:space="preserve">. The DHS Program states that participation is voluntary and that respondents’ identities and information are kept confidential</w:t>
      </w:r>
      <w:r>
        <w:t xml:space="preserve"> </w:t>
      </w:r>
      <w:r>
        <w:t xml:space="preserve">(</w:t>
      </w:r>
      <w:hyperlink w:anchor="ref-dhs_privacy_respondents">
        <w:r>
          <w:rPr>
            <w:rStyle w:val="Hyperlink"/>
          </w:rPr>
          <w:t xml:space="preserve">The DHS Program, 2026</w:t>
        </w:r>
      </w:hyperlink>
      <w:r>
        <w:t xml:space="preserve">)</w:t>
      </w:r>
      <w:r>
        <w:t xml:space="preserve">. However, the data still have the usual limitations of retrospective household surveys. Under-five mortality is reconstructed from birth histories, so the estimates depend on correct reporting of births, dates, and child survival status. Non-response, recall error, and misreporting of dates may affect the mortality estimates. The survey is also from 2007. It was useful for comparing the new method with earlier work on the same setting. However, the results should not be read as describing the current situation in the Democratic Republic of the Congo.</w:t>
      </w:r>
    </w:p>
    <w:p>
      <w:pPr>
        <w:pStyle w:val="BodyText"/>
      </w:pPr>
      <w:r>
        <w:t xml:space="preserve">The second limitation is the socioeconomic ranking variable. The DHS wealth index is constructed from household assets and living-standard variables, typically using principal component analysis</w:t>
      </w:r>
      <w:r>
        <w:t xml:space="preserve"> </w:t>
      </w:r>
      <w:r>
        <w:t xml:space="preserve">(</w:t>
      </w:r>
      <w:hyperlink w:anchor="ref-dhsprogram_wealth_index_construction">
        <w:r>
          <w:rPr>
            <w:rStyle w:val="Hyperlink"/>
          </w:rPr>
          <w:t xml:space="preserve">The DHS Program, 2007</w:t>
        </w:r>
      </w:hyperlink>
      <w:r>
        <w:t xml:space="preserve">)</w:t>
      </w:r>
      <w:r>
        <w:t xml:space="preserve">. It is useful for ordering households from poorer to richer, but it is not a measure of income, consumption, or expenditure. It is also a relative score within the survey. This limitation mainly affects the level-dependent concentration index. For</w:t>
      </w:r>
      <w:r>
        <w:t xml:space="preserve"> </w:t>
      </w:r>
      <m:oMath>
        <m:r>
          <m:t>L</m:t>
        </m:r>
      </m:oMath>
      <w:r>
        <w:t xml:space="preserve">, the interpretation is clearer when the socioeconomic variable has ratio-scale properties</w:t>
      </w:r>
      <w:r>
        <w:t xml:space="preserve"> </w:t>
      </w:r>
      <w:r>
        <w:t xml:space="preserve">(</w:t>
      </w:r>
      <w:hyperlink w:anchor="ref-erreygers2017socioeconomic">
        <w:r>
          <w:rPr>
            <w:rStyle w:val="Hyperlink"/>
          </w:rPr>
          <w:t xml:space="preserve">Erreygers and Kessels, 2017</w:t>
        </w:r>
      </w:hyperlink>
      <w:r>
        <w:t xml:space="preserve">)</w:t>
      </w:r>
      <w:r>
        <w:t xml:space="preserve">. The</w:t>
      </w:r>
      <w:r>
        <w:t xml:space="preserve"> </w:t>
      </w:r>
      <m:oMath>
        <m:r>
          <m:t>L</m:t>
        </m:r>
      </m:oMath>
      <w:r>
        <w:t xml:space="preserve"> </w:t>
      </w:r>
      <w:r>
        <w:t xml:space="preserve">results should therefore be read as a sensitivity analysis using the available DHS wealth score, not as a direct welfare-level decomposition.</w:t>
      </w:r>
    </w:p>
    <w:p>
      <w:pPr>
        <w:pStyle w:val="BodyText"/>
      </w:pPr>
      <w:r>
        <w:t xml:space="preserve">Decision trees are known to be unstable: small changes in the data can produce different split variables, split points, and tree structures. This comes from the recursive and greedy nature of tree construction. Once an early split changes, all later splits are fitted to different subsets of the data. In this thesis, this was handled partly through cross-validation and through splitting controls such as minimum node size, minimum child-node proportion, maximum depth, minimum gain, and minimum relative gain. These controls helped restrict weak or very small splits, but they do not remove the instability problem completely.</w:t>
      </w:r>
    </w:p>
    <w:p>
      <w:pPr>
        <w:pStyle w:val="BodyText"/>
      </w:pPr>
      <w:r>
        <w:t xml:space="preserve">Another limitation is the use of a surrogate tree to summarise the forest. The forest was added to reduce dependence on a single greedy tree, but the resulting forest is harder to interpret than a single tree. To obtain an interpretable summary, a surrogate tree was fitted using the forest’s risk estimates. The surrogate still chooses splits by maximising concentration-index gain, but the outcome used in that split rule is the forest-predicted risk rather than the observed mortality outcome. This approximation of the forest, therefore, depends on the correctness of the forest.</w:t>
      </w:r>
    </w:p>
    <w:bookmarkEnd w:id="127"/>
    <w:bookmarkStart w:id="128" w:name="Xc7cf4799a5fd9bcff3c22bce7ea8de05e5c2bda"/>
    <w:p>
      <w:pPr>
        <w:pStyle w:val="Heading2"/>
      </w:pPr>
      <w:r>
        <w:t xml:space="preserve">Ethical, societal, and stakeholder relevance</w:t>
      </w:r>
    </w:p>
    <w:p>
      <w:pPr>
        <w:pStyle w:val="FirstParagraph"/>
      </w:pPr>
      <w:r>
        <w:t xml:space="preserve">This thesis uses child-level data from the Democratic Republic of the Congo DHS phase V survey</w:t>
      </w:r>
      <w:r>
        <w:t xml:space="preserve"> </w:t>
      </w:r>
      <w:r>
        <w:t xml:space="preserve">(</w:t>
      </w:r>
      <w:hyperlink w:anchor="ref-dhs_drc_2007_dataset">
        <w:r>
          <w:rPr>
            <w:rStyle w:val="Hyperlink"/>
          </w:rPr>
          <w:t xml:space="preserve">The DRC Program Program, 2007</w:t>
        </w:r>
      </w:hyperlink>
      <w:r>
        <w:t xml:space="preserve">)</w:t>
      </w:r>
      <w:r>
        <w:t xml:space="preserve">. These data contain sensitive information, including child survival status, birth histories, household wealth, residence, province, maternal education, occupation, and skilled birth attendance. Even without names, the data describe mothers, children, households, and family deaths. The DHS Program states that participation is voluntary and that respondents’ identities and information are kept confidential</w:t>
      </w:r>
      <w:r>
        <w:t xml:space="preserve"> </w:t>
      </w:r>
      <w:r>
        <w:t xml:space="preserve">(</w:t>
      </w:r>
      <w:hyperlink w:anchor="ref-dhs_privacy_respondents">
        <w:r>
          <w:rPr>
            <w:rStyle w:val="Hyperlink"/>
          </w:rPr>
          <w:t xml:space="preserve">The DHS Program, 2026</w:t>
        </w:r>
      </w:hyperlink>
      <w:r>
        <w:t xml:space="preserve">)</w:t>
      </w:r>
      <w:r>
        <w:t xml:space="preserve">. In this thesis, we used secondary survey data and should remain within the conditions under which we were granted access to the DHS files.</w:t>
      </w:r>
    </w:p>
    <w:p>
      <w:pPr>
        <w:pStyle w:val="BodyText"/>
      </w:pPr>
      <w:r>
        <w:t xml:space="preserve">The concentration index trees developed here can identify subgroups with higher mortality and greater socioeconomic disadvantage. For example, the fitted trees point to rural children from low-wealth households in Katanga, or children whose mothers had no education and who lived in low-wealth households. These subgroups are useful for public health analysis and planning, but the results should be used carefully. Groups we identified through concentration index trees should not be described as if the children, mothers, or provinces are the problem. The tree is showing where mortality and disadvantage are concentrated in the data. The interpretation should therefore focus on unequal conditions, access to services, and policy response, not labelling groups.</w:t>
      </w:r>
    </w:p>
    <w:p>
      <w:pPr>
        <w:pStyle w:val="BodyText"/>
      </w:pPr>
      <w:r>
        <w:t xml:space="preserve">Compared with other statistical methods used in decomposition, such as generalised linear models and tree-based models, tree-based models are easier to interpret. The variable percentage contribution from regression or Shap-based decomposition can show which variables contribute more. However, it cannot show how disadvantage is organised across residence, household wealth, occupation, maternal background, and province. A tree is easier to discuss because it works like a flow chart. As shown in this thesis, the tree partitions the data graphically into high- and low-risk groups. Concentration index trees make it easier to follow the path to these high- and low-risk groups and identify them for public health planning.</w:t>
      </w:r>
    </w:p>
    <w:bookmarkEnd w:id="128"/>
    <w:bookmarkEnd w:id="129"/>
    <w:bookmarkStart w:id="130" w:name="future-research"/>
    <w:p>
      <w:pPr>
        <w:pStyle w:val="Heading1"/>
      </w:pPr>
      <w:r>
        <w:t xml:space="preserve">Future research</w:t>
      </w:r>
    </w:p>
    <w:p>
      <w:pPr>
        <w:pStyle w:val="FirstParagraph"/>
      </w:pPr>
      <w:r>
        <w:t xml:space="preserve">In this thesis, the level-dependent</w:t>
      </w:r>
      <w:r>
        <w:t xml:space="preserve"> </w:t>
      </w:r>
      <m:oMath>
        <m:r>
          <m:t>L</m:t>
        </m:r>
      </m:oMath>
      <w:r>
        <w:t xml:space="preserve"> </w:t>
      </w:r>
      <w:r>
        <w:t xml:space="preserve">method yielded more stable validation results than the rank-dependent criteria. This suggests that the choice of concentration index, used here as the tree impurity measure, is an important part of the method. One useful direction for future work would be to investigate whether rank-dependent concentration-index trees can be modified so that a child node retains more information about the wealth position from which its observations came, rather than relying solely on the new within-node ranking after each split. This may help reduce some of the instability seen in the rank-dependent trees. Another direction is to study the hyperparameters more systematically. Controls such as minimum node size, minimum child-node proportion, maximum depth, minimum gain, and minimum relative gain can alter the final tree structure, depending on the study’s purpose. Future work could therefore examine how these controls affect validation gain, terminal-node size, and the stability of the subgroups found by the model.</w:t>
      </w:r>
    </w:p>
    <w:bookmarkEnd w:id="130"/>
    <w:bookmarkStart w:id="131" w:name="conclusion"/>
    <w:p>
      <w:pPr>
        <w:pStyle w:val="Heading1"/>
      </w:pPr>
      <w:r>
        <w:t xml:space="preserve">Conclusion</w:t>
      </w:r>
    </w:p>
    <w:p>
      <w:pPr>
        <w:pStyle w:val="FirstParagraph"/>
      </w:pPr>
      <w:r>
        <w:t xml:space="preserve">This thesis developed and applied a tree-based method for analysing socioeconomic inequality in under-five mortality. The method used the concentration index as the impurity measure in a recursive partitioning method. Instead of ranking determinants by their percentage contribution to inequality, the fitted tree produced subgroups that could be interpreted as decision rules. This added a subgroup view to the usual regression-based decomposition. In the DRC DHS application, inequality in under-five mortality was not explained solely by household wealth. Residence, maternal education, skilled birth attendance, parental occupation, household wealth, and province all appeared in the analysis.</w:t>
      </w:r>
    </w:p>
    <w:p>
      <w:pPr>
        <w:pStyle w:val="BodyText"/>
      </w:pPr>
      <w:r>
        <w:t xml:space="preserve">The indirect methods gave the variable-level view, while the direct trees showed how these variables combined. The regression decomposition emphasised the mother’s education and the father’s agricultural occupation. The SHAP-based decomposition gave a broader pattern, with residence, household wealth, mother’s education, skilled birth attendance, and parental occupation appearing across criteria.</w:t>
      </w:r>
    </w:p>
    <w:p>
      <w:pPr>
        <w:pStyle w:val="BodyText"/>
      </w:pPr>
      <w:r>
        <w:t xml:space="preserve">The concentration-index trees acted as a direct method to decomposition, which showed directly with subgroups had higher under 5 deaths concentration. The rank-dependent trees found an education-occupation-wealth pattern, with higher mortality among children whose mothers had no education, who lived in low-wealth households, and who resided in Katanga. The</w:t>
      </w:r>
      <w:r>
        <w:t xml:space="preserve"> </w:t>
      </w:r>
      <m:oMath>
        <m:r>
          <m:t>L</m:t>
        </m:r>
      </m:oMath>
      <w:r>
        <w:t xml:space="preserve"> </w:t>
      </w:r>
      <w:r>
        <w:t xml:space="preserve">method gave a more spatial structure, beginning with residence and then splitting by occupation, wealth, and province.</w:t>
      </w:r>
    </w:p>
    <w:p>
      <w:pPr>
        <w:pStyle w:val="BodyText"/>
      </w:pPr>
      <w:r>
        <w:t xml:space="preserve">In this thesis, the level-dependent</w:t>
      </w:r>
      <w:r>
        <w:t xml:space="preserve"> </w:t>
      </w:r>
      <m:oMath>
        <m:r>
          <m:t>L</m:t>
        </m:r>
      </m:oMath>
      <w:r>
        <w:t xml:space="preserve"> </w:t>
      </w:r>
      <w:r>
        <w:t xml:space="preserve">method yielded more stable validation results than the rank-dependent criteria. This suggests that the choice of concentration index, used here as the tree impurity measure, is an important part of the method. The rank-dependent trees found detailed structures in the fitted data, but these structures did not validate well. The</w:t>
      </w:r>
      <w:r>
        <w:t xml:space="preserve"> </w:t>
      </w:r>
      <m:oMath>
        <m:r>
          <m:t>L</m:t>
        </m:r>
      </m:oMath>
      <w:r>
        <w:t xml:space="preserve"> </w:t>
      </w:r>
      <w:r>
        <w:t xml:space="preserve">tree and forest retained positive validation gains, so the level-dependent result was the more stable descriptive partition in this application.</w:t>
      </w:r>
    </w:p>
    <w:p>
      <w:pPr>
        <w:pStyle w:val="BodyText"/>
      </w:pPr>
      <w:r>
        <w:t xml:space="preserve">Since the level-dependent concentration index, as a measure of impurity, produced better results on held-out folds, future research should examine how to improve rank-dependent trees to retain more information from the original wealth ranking after each split.</w:t>
      </w:r>
    </w:p>
    <w:bookmarkEnd w:id="131"/>
    <w:bookmarkStart w:id="184" w:name="sec-references"/>
    <w:p>
      <w:pPr>
        <w:pStyle w:val="Heading1"/>
      </w:pPr>
      <w:r>
        <w:t xml:space="preserve">References</w:t>
      </w:r>
    </w:p>
    <w:bookmarkStart w:id="183" w:name="refs"/>
    <w:bookmarkStart w:id="133" w:name="ref-banerjee2012representative_trees"/>
    <w:p>
      <w:pPr>
        <w:pStyle w:val="Bibliography"/>
      </w:pPr>
      <w:r>
        <w:t xml:space="preserve">Banerjee, M., Ding, Y. and Noone, A.-M. (2012)</w:t>
      </w:r>
      <w:r>
        <w:t xml:space="preserve"> </w:t>
      </w:r>
      <w:r>
        <w:t xml:space="preserve">‘Identifying representative trees from ensembles’</w:t>
      </w:r>
      <w:r>
        <w:t xml:space="preserve">,</w:t>
      </w:r>
      <w:r>
        <w:t xml:space="preserve"> </w:t>
      </w:r>
      <w:r>
        <w:rPr>
          <w:i/>
          <w:iCs/>
        </w:rPr>
        <w:t xml:space="preserve">Statistics in Medicine</w:t>
      </w:r>
      <w:r>
        <w:t xml:space="preserve">, 31(15), pp. 1601–1616. Available at:</w:t>
      </w:r>
      <w:r>
        <w:t xml:space="preserve"> </w:t>
      </w:r>
      <w:hyperlink r:id="rId132">
        <w:r>
          <w:rPr>
            <w:rStyle w:val="Hyperlink"/>
          </w:rPr>
          <w:t xml:space="preserve">https://doi.org/10.1002/sim.4492</w:t>
        </w:r>
      </w:hyperlink>
      <w:r>
        <w:t xml:space="preserve">.</w:t>
      </w:r>
    </w:p>
    <w:bookmarkEnd w:id="133"/>
    <w:bookmarkStart w:id="135" w:name="ref-erreygers2009correcting"/>
    <w:p>
      <w:pPr>
        <w:pStyle w:val="Bibliography"/>
      </w:pPr>
      <w:r>
        <w:t xml:space="preserve">Erreygers, G. (2009)</w:t>
      </w:r>
      <w:r>
        <w:t xml:space="preserve"> </w:t>
      </w:r>
      <w:r>
        <w:t xml:space="preserve">‘Correcting the concentration index’</w:t>
      </w:r>
      <w:r>
        <w:t xml:space="preserve">,</w:t>
      </w:r>
      <w:r>
        <w:t xml:space="preserve"> </w:t>
      </w:r>
      <w:r>
        <w:rPr>
          <w:i/>
          <w:iCs/>
        </w:rPr>
        <w:t xml:space="preserve">Journal of Health Economics</w:t>
      </w:r>
      <w:r>
        <w:t xml:space="preserve">, 28(2), pp. 504–515. Available at:</w:t>
      </w:r>
      <w:r>
        <w:t xml:space="preserve"> </w:t>
      </w:r>
      <w:hyperlink r:id="rId134">
        <w:r>
          <w:rPr>
            <w:rStyle w:val="Hyperlink"/>
          </w:rPr>
          <w:t xml:space="preserve">https://doi.org/10.1016/j.jhealeco.2008.02.003</w:t>
        </w:r>
      </w:hyperlink>
      <w:r>
        <w:t xml:space="preserve">.</w:t>
      </w:r>
    </w:p>
    <w:bookmarkEnd w:id="135"/>
    <w:bookmarkStart w:id="137" w:name="ref-erreygers2017subgroup"/>
    <w:p>
      <w:pPr>
        <w:pStyle w:val="Bibliography"/>
      </w:pPr>
      <w:r>
        <w:t xml:space="preserve">Erreygers, G.</w:t>
      </w:r>
      <w:r>
        <w:t xml:space="preserve"> </w:t>
      </w:r>
      <w:r>
        <w:rPr>
          <w:i/>
          <w:iCs/>
        </w:rPr>
        <w:t xml:space="preserve">et al.</w:t>
      </w:r>
      <w:r>
        <w:t xml:space="preserve"> </w:t>
      </w:r>
      <w:r>
        <w:t xml:space="preserve">(2017)</w:t>
      </w:r>
      <w:r>
        <w:t xml:space="preserve"> </w:t>
      </w:r>
      <w:r>
        <w:t xml:space="preserve">‘Subgroup decomposability of income-related inequality of health, with an application to australia’</w:t>
      </w:r>
      <w:r>
        <w:t xml:space="preserve">,</w:t>
      </w:r>
      <w:r>
        <w:t xml:space="preserve"> </w:t>
      </w:r>
      <w:r>
        <w:rPr>
          <w:i/>
          <w:iCs/>
        </w:rPr>
        <w:t xml:space="preserve">Economic Record</w:t>
      </w:r>
      <w:r>
        <w:t xml:space="preserve"> </w:t>
      </w:r>
      <w:r>
        <w:t xml:space="preserve">[Preprint]. Available at:</w:t>
      </w:r>
      <w:r>
        <w:t xml:space="preserve"> </w:t>
      </w:r>
      <w:hyperlink r:id="rId136">
        <w:r>
          <w:rPr>
            <w:rStyle w:val="Hyperlink"/>
          </w:rPr>
          <w:t xml:space="preserve">https://doi.org/10.1111/1475-4932.12373</w:t>
        </w:r>
      </w:hyperlink>
      <w:r>
        <w:t xml:space="preserve">.</w:t>
      </w:r>
    </w:p>
    <w:bookmarkEnd w:id="137"/>
    <w:bookmarkStart w:id="139" w:name="ref-erreygers2017socioeconomic"/>
    <w:p>
      <w:pPr>
        <w:pStyle w:val="Bibliography"/>
      </w:pPr>
      <w:r>
        <w:t xml:space="preserve">Erreygers, G. and Kessels, R. (2017)</w:t>
      </w:r>
      <w:r>
        <w:t xml:space="preserve"> </w:t>
      </w:r>
      <w:r>
        <w:t xml:space="preserve">‘Socioeconomic status and health: A new approach to the measurement of bivariate inequality’</w:t>
      </w:r>
      <w:r>
        <w:t xml:space="preserve">,</w:t>
      </w:r>
      <w:r>
        <w:t xml:space="preserve"> </w:t>
      </w:r>
      <w:r>
        <w:rPr>
          <w:i/>
          <w:iCs/>
        </w:rPr>
        <w:t xml:space="preserve">International Journal of Environmental Research and Public Health</w:t>
      </w:r>
      <w:r>
        <w:t xml:space="preserve">, 14(7), p. 673. Available at:</w:t>
      </w:r>
      <w:r>
        <w:t xml:space="preserve"> </w:t>
      </w:r>
      <w:hyperlink r:id="rId138">
        <w:r>
          <w:rPr>
            <w:rStyle w:val="Hyperlink"/>
          </w:rPr>
          <w:t xml:space="preserve">https://doi.org/10.3390/ijerph14070673</w:t>
        </w:r>
      </w:hyperlink>
      <w:r>
        <w:t xml:space="preserve">.</w:t>
      </w:r>
    </w:p>
    <w:bookmarkEnd w:id="139"/>
    <w:bookmarkStart w:id="141" w:name="ref-hastie2009elements"/>
    <w:p>
      <w:pPr>
        <w:pStyle w:val="Bibliography"/>
      </w:pPr>
      <w:r>
        <w:t xml:space="preserve">Hastie, T., Tibshirani, R. and Friedman, J. (2017)</w:t>
      </w:r>
      <w:r>
        <w:t xml:space="preserve"> </w:t>
      </w:r>
      <w:r>
        <w:rPr>
          <w:i/>
          <w:iCs/>
        </w:rPr>
        <w:t xml:space="preserve">The elements of statistical learning: Data mining, inference, and prediction</w:t>
      </w:r>
      <w:r>
        <w:t xml:space="preserve">. 12th edn. Springer Science &amp; Business Media. Available at:</w:t>
      </w:r>
      <w:r>
        <w:t xml:space="preserve"> </w:t>
      </w:r>
      <w:hyperlink r:id="rId140">
        <w:r>
          <w:rPr>
            <w:rStyle w:val="Hyperlink"/>
          </w:rPr>
          <w:t xml:space="preserve">https://hastie.su.domains/ElemStatLearn/</w:t>
        </w:r>
      </w:hyperlink>
      <w:r>
        <w:t xml:space="preserve">.</w:t>
      </w:r>
    </w:p>
    <w:bookmarkEnd w:id="141"/>
    <w:bookmarkStart w:id="143" w:name="ref-hothorn2015partykit"/>
    <w:p>
      <w:pPr>
        <w:pStyle w:val="Bibliography"/>
      </w:pPr>
      <w:r>
        <w:t xml:space="preserve">Hothorn, T. and Zeileis, A. (2015)</w:t>
      </w:r>
      <w:r>
        <w:t xml:space="preserve"> </w:t>
      </w:r>
      <w:r>
        <w:t xml:space="preserve">‘</w:t>
      </w:r>
      <w:r>
        <w:t xml:space="preserve">partykit</w:t>
      </w:r>
      <w:r>
        <w:t xml:space="preserve">: A modular toolkit for recursive partytioning in</w:t>
      </w:r>
      <w:r>
        <w:t xml:space="preserve"> </w:t>
      </w:r>
      <w:r>
        <w:t xml:space="preserve">R</w:t>
      </w:r>
      <w:r>
        <w:t xml:space="preserve">’</w:t>
      </w:r>
      <w:r>
        <w:t xml:space="preserve">,</w:t>
      </w:r>
      <w:r>
        <w:t xml:space="preserve"> </w:t>
      </w:r>
      <w:r>
        <w:rPr>
          <w:i/>
          <w:iCs/>
        </w:rPr>
        <w:t xml:space="preserve">Journal of Machine Learning Research</w:t>
      </w:r>
      <w:r>
        <w:t xml:space="preserve">, 16, pp. 3905–3909. Available at:</w:t>
      </w:r>
      <w:r>
        <w:t xml:space="preserve"> </w:t>
      </w:r>
      <w:hyperlink r:id="rId142">
        <w:r>
          <w:rPr>
            <w:rStyle w:val="Hyperlink"/>
          </w:rPr>
          <w:t xml:space="preserve">https://jmlr.org/papers/v16/hothorn15a.html</w:t>
        </w:r>
      </w:hyperlink>
      <w:r>
        <w:t xml:space="preserve">.</w:t>
      </w:r>
    </w:p>
    <w:bookmarkEnd w:id="143"/>
    <w:bookmarkStart w:id="145" w:name="ref-jones2003_child_survival"/>
    <w:p>
      <w:pPr>
        <w:pStyle w:val="Bibliography"/>
      </w:pPr>
      <w:r>
        <w:t xml:space="preserve">Jones, G.</w:t>
      </w:r>
      <w:r>
        <w:t xml:space="preserve"> </w:t>
      </w:r>
      <w:r>
        <w:rPr>
          <w:i/>
          <w:iCs/>
        </w:rPr>
        <w:t xml:space="preserve">et al.</w:t>
      </w:r>
      <w:r>
        <w:t xml:space="preserve"> </w:t>
      </w:r>
      <w:r>
        <w:t xml:space="preserve">(2003)</w:t>
      </w:r>
      <w:r>
        <w:t xml:space="preserve"> </w:t>
      </w:r>
      <w:r>
        <w:t xml:space="preserve">‘How many child deaths can we prevent this year?’</w:t>
      </w:r>
      <w:r>
        <w:t xml:space="preserve">,</w:t>
      </w:r>
      <w:r>
        <w:t xml:space="preserve"> </w:t>
      </w:r>
      <w:r>
        <w:rPr>
          <w:i/>
          <w:iCs/>
        </w:rPr>
        <w:t xml:space="preserve">The Lancet</w:t>
      </w:r>
      <w:r>
        <w:t xml:space="preserve">, 362(9377), pp. 65–71. Available at:</w:t>
      </w:r>
      <w:r>
        <w:t xml:space="preserve"> </w:t>
      </w:r>
      <w:hyperlink r:id="rId144">
        <w:r>
          <w:rPr>
            <w:rStyle w:val="Hyperlink"/>
          </w:rPr>
          <w:t xml:space="preserve">https://doi.org/10.1016/S0140-6736(03)13811-1</w:t>
        </w:r>
      </w:hyperlink>
      <w:r>
        <w:t xml:space="preserve">.</w:t>
      </w:r>
    </w:p>
    <w:bookmarkEnd w:id="145"/>
    <w:bookmarkStart w:id="147" w:name="ref-kandala2014drc"/>
    <w:p>
      <w:pPr>
        <w:pStyle w:val="Bibliography"/>
      </w:pPr>
      <w:r>
        <w:t xml:space="preserve">Kandala, N.-B.</w:t>
      </w:r>
      <w:r>
        <w:t xml:space="preserve"> </w:t>
      </w:r>
      <w:r>
        <w:rPr>
          <w:i/>
          <w:iCs/>
        </w:rPr>
        <w:t xml:space="preserve">et al.</w:t>
      </w:r>
      <w:r>
        <w:t xml:space="preserve"> </w:t>
      </w:r>
      <w:r>
        <w:t xml:space="preserve">(2014)</w:t>
      </w:r>
      <w:r>
        <w:t xml:space="preserve"> </w:t>
      </w:r>
      <w:r>
        <w:t xml:space="preserve">‘Child mortality in the democratic republic of congo: Cross-sectional evidence of the effect of geographic location and prolonged conflict from a national household survey’</w:t>
      </w:r>
      <w:r>
        <w:t xml:space="preserve">,</w:t>
      </w:r>
      <w:r>
        <w:t xml:space="preserve"> </w:t>
      </w:r>
      <w:r>
        <w:rPr>
          <w:i/>
          <w:iCs/>
        </w:rPr>
        <w:t xml:space="preserve">BMC Public Health</w:t>
      </w:r>
      <w:r>
        <w:t xml:space="preserve">, 14(1), p. 266. Available at:</w:t>
      </w:r>
      <w:r>
        <w:t xml:space="preserve"> </w:t>
      </w:r>
      <w:hyperlink r:id="rId146">
        <w:r>
          <w:rPr>
            <w:rStyle w:val="Hyperlink"/>
          </w:rPr>
          <w:t xml:space="preserve">https://doi.org/10.1186/1471-2458-14-266</w:t>
        </w:r>
      </w:hyperlink>
      <w:r>
        <w:t xml:space="preserve">.</w:t>
      </w:r>
    </w:p>
    <w:bookmarkEnd w:id="147"/>
    <w:bookmarkStart w:id="149" w:name="ref-tidymodels2020"/>
    <w:p>
      <w:pPr>
        <w:pStyle w:val="Bibliography"/>
      </w:pPr>
      <w:r>
        <w:t xml:space="preserve">Kuhn, M. and Wickham, H. (2020)</w:t>
      </w:r>
      <w:r>
        <w:t xml:space="preserve"> </w:t>
      </w:r>
      <w:r>
        <w:rPr>
          <w:i/>
          <w:iCs/>
        </w:rPr>
        <w:t xml:space="preserve">Tidymodels: A collection of packages for modeling and machine learning using tidyverse principles</w:t>
      </w:r>
      <w:r>
        <w:t xml:space="preserve">. Available at:</w:t>
      </w:r>
      <w:r>
        <w:t xml:space="preserve"> </w:t>
      </w:r>
      <w:hyperlink r:id="rId148">
        <w:r>
          <w:rPr>
            <w:rStyle w:val="Hyperlink"/>
          </w:rPr>
          <w:t xml:space="preserve">https://www.tidymodels.org</w:t>
        </w:r>
      </w:hyperlink>
      <w:r>
        <w:t xml:space="preserve">.</w:t>
      </w:r>
    </w:p>
    <w:bookmarkEnd w:id="149"/>
    <w:bookmarkStart w:id="150" w:name="ref-survey2026"/>
    <w:p>
      <w:pPr>
        <w:pStyle w:val="Bibliography"/>
      </w:pPr>
      <w:r>
        <w:t xml:space="preserve">Lumley, T. (2026)</w:t>
      </w:r>
      <w:r>
        <w:t xml:space="preserve"> </w:t>
      </w:r>
      <w:r>
        <w:rPr>
          <w:i/>
          <w:iCs/>
        </w:rPr>
        <w:t xml:space="preserve">Survey: Analysis of complex survey samples</w:t>
      </w:r>
      <w:r>
        <w:t xml:space="preserve">.</w:t>
      </w:r>
    </w:p>
    <w:bookmarkEnd w:id="150"/>
    <w:bookmarkStart w:id="152" w:name="ref-lundberg2018tree"/>
    <w:p>
      <w:pPr>
        <w:pStyle w:val="Bibliography"/>
      </w:pPr>
      <w:r>
        <w:t xml:space="preserve">Lundberg, S.M., Erion, G.G. and Lee, S.-I. (2018)</w:t>
      </w:r>
      <w:r>
        <w:t xml:space="preserve"> </w:t>
      </w:r>
      <w:r>
        <w:t xml:space="preserve">‘Consistent individualized feature attribution for tree ensembles’</w:t>
      </w:r>
      <w:r>
        <w:t xml:space="preserve">,</w:t>
      </w:r>
      <w:r>
        <w:t xml:space="preserve"> </w:t>
      </w:r>
      <w:r>
        <w:rPr>
          <w:i/>
          <w:iCs/>
        </w:rPr>
        <w:t xml:space="preserve">arXiv preprint arXiv:1802.03888</w:t>
      </w:r>
      <w:r>
        <w:t xml:space="preserve"> </w:t>
      </w:r>
      <w:r>
        <w:t xml:space="preserve">[Preprint]. Available at:</w:t>
      </w:r>
      <w:r>
        <w:t xml:space="preserve"> </w:t>
      </w:r>
      <w:hyperlink r:id="rId151">
        <w:r>
          <w:rPr>
            <w:rStyle w:val="Hyperlink"/>
          </w:rPr>
          <w:t xml:space="preserve">https://doi.org/10.48550/arXiv.1802.03888</w:t>
        </w:r>
      </w:hyperlink>
      <w:r>
        <w:t xml:space="preserve">.</w:t>
      </w:r>
    </w:p>
    <w:bookmarkEnd w:id="152"/>
    <w:bookmarkStart w:id="154" w:name="ref-lundberg2017unified"/>
    <w:p>
      <w:pPr>
        <w:pStyle w:val="Bibliography"/>
      </w:pPr>
      <w:r>
        <w:t xml:space="preserve">Lundberg, S.M. and Lee, S.-I. (2017)</w:t>
      </w:r>
      <w:r>
        <w:t xml:space="preserve"> </w:t>
      </w:r>
      <w:r>
        <w:t xml:space="preserve">‘A unified approach to interpreting model predictions’</w:t>
      </w:r>
      <w:r>
        <w:t xml:space="preserve">, in</w:t>
      </w:r>
      <w:r>
        <w:t xml:space="preserve"> </w:t>
      </w:r>
      <w:r>
        <w:rPr>
          <w:i/>
          <w:iCs/>
        </w:rPr>
        <w:t xml:space="preserve">Advances in neural information processing systems</w:t>
      </w:r>
      <w:r>
        <w:t xml:space="preserve">. Available at:</w:t>
      </w:r>
      <w:r>
        <w:t xml:space="preserve"> </w:t>
      </w:r>
      <w:hyperlink r:id="rId153">
        <w:r>
          <w:rPr>
            <w:rStyle w:val="Hyperlink"/>
          </w:rPr>
          <w:t xml:space="preserve">https://doi.org/10.48550/arXiv.1705.07874</w:t>
        </w:r>
      </w:hyperlink>
      <w:r>
        <w:t xml:space="preserve">.</w:t>
      </w:r>
    </w:p>
    <w:bookmarkEnd w:id="154"/>
    <w:bookmarkStart w:id="156" w:name="ref-ineqTrees"/>
    <w:p>
      <w:pPr>
        <w:pStyle w:val="Bibliography"/>
      </w:pPr>
      <w:r>
        <w:t xml:space="preserve">Mburu, M. (2026)</w:t>
      </w:r>
      <w:r>
        <w:t xml:space="preserve"> </w:t>
      </w:r>
      <w:r>
        <w:rPr>
          <w:i/>
          <w:iCs/>
        </w:rPr>
        <w:t xml:space="preserve">ineqTrees: Tree-based decomposition of health inequality</w:t>
      </w:r>
      <w:r>
        <w:t xml:space="preserve">. Available at:</w:t>
      </w:r>
      <w:r>
        <w:t xml:space="preserve"> </w:t>
      </w:r>
      <w:hyperlink r:id="rId155">
        <w:r>
          <w:rPr>
            <w:rStyle w:val="Hyperlink"/>
          </w:rPr>
          <w:t xml:space="preserve">https://github.com/m-mburu/ineqTrees</w:t>
        </w:r>
      </w:hyperlink>
      <w:r>
        <w:t xml:space="preserve">.</w:t>
      </w:r>
    </w:p>
    <w:bookmarkEnd w:id="156"/>
    <w:bookmarkStart w:id="158" w:name="ref-sharrow2022_under5_mortality"/>
    <w:p>
      <w:pPr>
        <w:pStyle w:val="Bibliography"/>
      </w:pPr>
      <w:r>
        <w:t xml:space="preserve">Sharrow, D.</w:t>
      </w:r>
      <w:r>
        <w:t xml:space="preserve"> </w:t>
      </w:r>
      <w:r>
        <w:rPr>
          <w:i/>
          <w:iCs/>
        </w:rPr>
        <w:t xml:space="preserve">et al.</w:t>
      </w:r>
      <w:r>
        <w:t xml:space="preserve"> </w:t>
      </w:r>
      <w:r>
        <w:t xml:space="preserve">(2022)</w:t>
      </w:r>
      <w:r>
        <w:t xml:space="preserve"> </w:t>
      </w:r>
      <w:r>
        <w:t xml:space="preserve">‘Global, regional, and national trends in under-5 mortality between 1990 and 2019 with scenario-based projections until 2030: A systematic analysis by the UN inter-agency group for child mortality estimation’</w:t>
      </w:r>
      <w:r>
        <w:t xml:space="preserve">,</w:t>
      </w:r>
      <w:r>
        <w:t xml:space="preserve"> </w:t>
      </w:r>
      <w:r>
        <w:rPr>
          <w:i/>
          <w:iCs/>
        </w:rPr>
        <w:t xml:space="preserve">The Lancet Global Health</w:t>
      </w:r>
      <w:r>
        <w:t xml:space="preserve">, 10(2), pp. e195–e206. Available at:</w:t>
      </w:r>
      <w:r>
        <w:t xml:space="preserve"> </w:t>
      </w:r>
      <w:hyperlink r:id="rId157">
        <w:r>
          <w:rPr>
            <w:rStyle w:val="Hyperlink"/>
          </w:rPr>
          <w:t xml:space="preserve">https://doi.org/10.1016/S2214-109X(21)00515-5</w:t>
        </w:r>
      </w:hyperlink>
      <w:r>
        <w:t xml:space="preserve">.</w:t>
      </w:r>
    </w:p>
    <w:bookmarkEnd w:id="158"/>
    <w:bookmarkStart w:id="160" w:name="ref-speybroeck2010decomposing"/>
    <w:p>
      <w:pPr>
        <w:pStyle w:val="Bibliography"/>
      </w:pPr>
      <w:r>
        <w:t xml:space="preserve">Speybroeck, N.</w:t>
      </w:r>
      <w:r>
        <w:t xml:space="preserve"> </w:t>
      </w:r>
      <w:r>
        <w:rPr>
          <w:i/>
          <w:iCs/>
        </w:rPr>
        <w:t xml:space="preserve">et al.</w:t>
      </w:r>
      <w:r>
        <w:t xml:space="preserve"> </w:t>
      </w:r>
      <w:r>
        <w:t xml:space="preserve">(2010)</w:t>
      </w:r>
      <w:r>
        <w:t xml:space="preserve"> </w:t>
      </w:r>
      <w:r>
        <w:t xml:space="preserve">‘Decomposing socioeconomic health inequalities’</w:t>
      </w:r>
      <w:r>
        <w:t xml:space="preserve">,</w:t>
      </w:r>
      <w:r>
        <w:t xml:space="preserve"> </w:t>
      </w:r>
      <w:r>
        <w:rPr>
          <w:i/>
          <w:iCs/>
        </w:rPr>
        <w:t xml:space="preserve">International Journal of Public Health</w:t>
      </w:r>
      <w:r>
        <w:t xml:space="preserve">, 55, pp. 347–351. Available at:</w:t>
      </w:r>
      <w:r>
        <w:t xml:space="preserve"> </w:t>
      </w:r>
      <w:hyperlink r:id="rId159">
        <w:r>
          <w:rPr>
            <w:rStyle w:val="Hyperlink"/>
          </w:rPr>
          <w:t xml:space="preserve">https://doi.org/10.1007/s00038-009-0105-z</w:t>
        </w:r>
      </w:hyperlink>
      <w:r>
        <w:t xml:space="preserve">.</w:t>
      </w:r>
    </w:p>
    <w:bookmarkEnd w:id="160"/>
    <w:bookmarkStart w:id="162" w:name="ref-dhsprogram_wealth_index_construction"/>
    <w:p>
      <w:pPr>
        <w:pStyle w:val="Bibliography"/>
      </w:pPr>
      <w:r>
        <w:t xml:space="preserve">The DHS Program (2007)</w:t>
      </w:r>
      <w:r>
        <w:t xml:space="preserve"> </w:t>
      </w:r>
      <w:r>
        <w:t xml:space="preserve">‘Wealth index construction’</w:t>
      </w:r>
      <w:r>
        <w:t xml:space="preserve">. The DHS Program. Available at:</w:t>
      </w:r>
      <w:r>
        <w:t xml:space="preserve"> </w:t>
      </w:r>
      <w:hyperlink r:id="rId161">
        <w:r>
          <w:rPr>
            <w:rStyle w:val="Hyperlink"/>
          </w:rPr>
          <w:t xml:space="preserve">https://dhsprogram.com/topics/wealth-index/Wealth-Index-Construction.cfm</w:t>
        </w:r>
      </w:hyperlink>
      <w:r>
        <w:t xml:space="preserve">.</w:t>
      </w:r>
    </w:p>
    <w:bookmarkEnd w:id="162"/>
    <w:bookmarkStart w:id="164" w:name="ref-dhs_privacy_respondents"/>
    <w:p>
      <w:pPr>
        <w:pStyle w:val="Bibliography"/>
      </w:pPr>
      <w:r>
        <w:t xml:space="preserve">The DHS Program (2026)</w:t>
      </w:r>
      <w:r>
        <w:t xml:space="preserve"> </w:t>
      </w:r>
      <w:r>
        <w:t xml:space="preserve">‘Protecting the privacy of DHS survey respondents’</w:t>
      </w:r>
      <w:r>
        <w:t xml:space="preserve">. Methodology webpage. Available at:</w:t>
      </w:r>
      <w:r>
        <w:t xml:space="preserve"> </w:t>
      </w:r>
      <w:hyperlink r:id="rId163">
        <w:r>
          <w:rPr>
            <w:rStyle w:val="Hyperlink"/>
          </w:rPr>
          <w:t xml:space="preserve">https://dhsprogram.com/methodology/protecting-the-privacy-of-dhs-survey-respondents.cfm</w:t>
        </w:r>
      </w:hyperlink>
      <w:r>
        <w:t xml:space="preserve">.</w:t>
      </w:r>
    </w:p>
    <w:bookmarkEnd w:id="164"/>
    <w:bookmarkStart w:id="166" w:name="ref-dhs_drc_2007_dataset"/>
    <w:p>
      <w:pPr>
        <w:pStyle w:val="Bibliography"/>
      </w:pPr>
      <w:r>
        <w:t xml:space="preserve">The DRC Program Program (2007)</w:t>
      </w:r>
      <w:r>
        <w:t xml:space="preserve"> </w:t>
      </w:r>
      <w:r>
        <w:t xml:space="preserve">‘</w:t>
      </w:r>
      <w:r>
        <w:t xml:space="preserve">Congo Democratic Republic: Standard DHS, 2007</w:t>
      </w:r>
      <w:r>
        <w:t xml:space="preserve">’</w:t>
      </w:r>
      <w:r>
        <w:t xml:space="preserve">. Survey dataset page. Available at:</w:t>
      </w:r>
      <w:r>
        <w:t xml:space="preserve"> </w:t>
      </w:r>
      <w:hyperlink r:id="rId165">
        <w:r>
          <w:rPr>
            <w:rStyle w:val="Hyperlink"/>
          </w:rPr>
          <w:t xml:space="preserve">https://dhsprogram.com/methodology/survey/survey-display-239.cfm</w:t>
        </w:r>
      </w:hyperlink>
      <w:r>
        <w:t xml:space="preserve">.</w:t>
      </w:r>
    </w:p>
    <w:bookmarkEnd w:id="166"/>
    <w:bookmarkStart w:id="168" w:name="ref-rpart2026"/>
    <w:p>
      <w:pPr>
        <w:pStyle w:val="Bibliography"/>
      </w:pPr>
      <w:r>
        <w:t xml:space="preserve">Therneau, T. and Atkinson, B. (2026)</w:t>
      </w:r>
      <w:r>
        <w:t xml:space="preserve"> </w:t>
      </w:r>
      <w:r>
        <w:rPr>
          <w:i/>
          <w:iCs/>
        </w:rPr>
        <w:t xml:space="preserve">Rpart: Recursive partitioning and regression trees</w:t>
      </w:r>
      <w:r>
        <w:t xml:space="preserve">. Available at:</w:t>
      </w:r>
      <w:r>
        <w:t xml:space="preserve"> </w:t>
      </w:r>
      <w:hyperlink r:id="rId167">
        <w:r>
          <w:rPr>
            <w:rStyle w:val="Hyperlink"/>
          </w:rPr>
          <w:t xml:space="preserve">https://doi.org/10.32614/CRAN.package.rpart</w:t>
        </w:r>
      </w:hyperlink>
      <w:r>
        <w:t xml:space="preserve">.</w:t>
      </w:r>
    </w:p>
    <w:bookmarkEnd w:id="168"/>
    <w:bookmarkStart w:id="170" w:name="Xcfbd154e22107d15831b8a5ceb673d2557725b5"/>
    <w:p>
      <w:pPr>
        <w:pStyle w:val="Bibliography"/>
      </w:pPr>
      <w:r>
        <w:t xml:space="preserve">Tsala Dimbuene, Z., Muanza Nzuzi, R. and Nzita Kikhela, P.-D. (2022)</w:t>
      </w:r>
      <w:r>
        <w:t xml:space="preserve"> </w:t>
      </w:r>
      <w:r>
        <w:t xml:space="preserve">‘Poverty, education and health insurance coverage among women of reproductive ages in the democratic republic of the congo: A cross-sectional and multilevel analysis’</w:t>
      </w:r>
      <w:r>
        <w:t xml:space="preserve">,</w:t>
      </w:r>
      <w:r>
        <w:t xml:space="preserve"> </w:t>
      </w:r>
      <w:r>
        <w:rPr>
          <w:i/>
          <w:iCs/>
        </w:rPr>
        <w:t xml:space="preserve">BMJ Open</w:t>
      </w:r>
      <w:r>
        <w:t xml:space="preserve">, 12, p. e064834. Available at:</w:t>
      </w:r>
      <w:r>
        <w:t xml:space="preserve"> </w:t>
      </w:r>
      <w:hyperlink r:id="rId169">
        <w:r>
          <w:rPr>
            <w:rStyle w:val="Hyperlink"/>
          </w:rPr>
          <w:t xml:space="preserve">https://doi.org/10.1136/bmjopen-2022-064834</w:t>
        </w:r>
      </w:hyperlink>
      <w:r>
        <w:t xml:space="preserve">.</w:t>
      </w:r>
    </w:p>
    <w:bookmarkEnd w:id="170"/>
    <w:bookmarkStart w:id="172" w:name="ref-vanmalderen2019socioeconomic"/>
    <w:p>
      <w:pPr>
        <w:pStyle w:val="Bibliography"/>
      </w:pPr>
      <w:r>
        <w:t xml:space="preserve">Van Malderen, C.</w:t>
      </w:r>
      <w:r>
        <w:t xml:space="preserve"> </w:t>
      </w:r>
      <w:r>
        <w:rPr>
          <w:i/>
          <w:iCs/>
        </w:rPr>
        <w:t xml:space="preserve">et al.</w:t>
      </w:r>
      <w:r>
        <w:t xml:space="preserve"> </w:t>
      </w:r>
      <w:r>
        <w:t xml:space="preserve">(2019)</w:t>
      </w:r>
      <w:r>
        <w:t xml:space="preserve"> </w:t>
      </w:r>
      <w:r>
        <w:t xml:space="preserve">‘Socioeconomic factors contributing to under-five mortality in sub-saharan africa: A decomposition analysis’</w:t>
      </w:r>
      <w:r>
        <w:t xml:space="preserve">,</w:t>
      </w:r>
      <w:r>
        <w:t xml:space="preserve"> </w:t>
      </w:r>
      <w:r>
        <w:rPr>
          <w:i/>
          <w:iCs/>
        </w:rPr>
        <w:t xml:space="preserve">BMC Public Health</w:t>
      </w:r>
      <w:r>
        <w:t xml:space="preserve">, 19(1), p. 760. Available at:</w:t>
      </w:r>
      <w:r>
        <w:t xml:space="preserve"> </w:t>
      </w:r>
      <w:hyperlink r:id="rId171">
        <w:r>
          <w:rPr>
            <w:rStyle w:val="Hyperlink"/>
          </w:rPr>
          <w:t xml:space="preserve">https://doi.org/10.1186/s12889-019-7111-8</w:t>
        </w:r>
      </w:hyperlink>
      <w:r>
        <w:t xml:space="preserve">.</w:t>
      </w:r>
    </w:p>
    <w:bookmarkEnd w:id="172"/>
    <w:bookmarkStart w:id="174" w:name="ref-vanmalderen2013under5"/>
    <w:p>
      <w:pPr>
        <w:pStyle w:val="Bibliography"/>
      </w:pPr>
      <w:r>
        <w:t xml:space="preserve">Van Malderen, C., Van Oyen, H. and Speybroeck, N. (2013)</w:t>
      </w:r>
      <w:r>
        <w:t xml:space="preserve"> </w:t>
      </w:r>
      <w:r>
        <w:t xml:space="preserve">‘Contributing determinants of overall and wealth-related inequality in under-5 mortality in 13 african countries’</w:t>
      </w:r>
      <w:r>
        <w:t xml:space="preserve">,</w:t>
      </w:r>
      <w:r>
        <w:t xml:space="preserve"> </w:t>
      </w:r>
      <w:r>
        <w:rPr>
          <w:i/>
          <w:iCs/>
        </w:rPr>
        <w:t xml:space="preserve">Journal of Epidemiology and Community Health</w:t>
      </w:r>
      <w:r>
        <w:t xml:space="preserve">, 67(8), pp. 667–676. Available at:</w:t>
      </w:r>
      <w:r>
        <w:t xml:space="preserve"> </w:t>
      </w:r>
      <w:hyperlink r:id="rId173">
        <w:r>
          <w:rPr>
            <w:rStyle w:val="Hyperlink"/>
          </w:rPr>
          <w:t xml:space="preserve">https://doi.org/10.1136/jech-2012-202195</w:t>
        </w:r>
      </w:hyperlink>
      <w:r>
        <w:t xml:space="preserve">.</w:t>
      </w:r>
    </w:p>
    <w:bookmarkEnd w:id="174"/>
    <w:bookmarkStart w:id="176" w:name="ref-wagstaff2005bounds"/>
    <w:p>
      <w:pPr>
        <w:pStyle w:val="Bibliography"/>
      </w:pPr>
      <w:r>
        <w:t xml:space="preserve">Wagstaff, A. (2005)</w:t>
      </w:r>
      <w:r>
        <w:t xml:space="preserve"> </w:t>
      </w:r>
      <w:r>
        <w:t xml:space="preserve">‘The bounds of the concentration index when the variable of interest is binary, with an application to immunization inequality’</w:t>
      </w:r>
      <w:r>
        <w:t xml:space="preserve">,</w:t>
      </w:r>
      <w:r>
        <w:t xml:space="preserve"> </w:t>
      </w:r>
      <w:r>
        <w:rPr>
          <w:i/>
          <w:iCs/>
        </w:rPr>
        <w:t xml:space="preserve">Health Economics</w:t>
      </w:r>
      <w:r>
        <w:t xml:space="preserve">, 14(4), pp. 429–432. Available at:</w:t>
      </w:r>
      <w:r>
        <w:t xml:space="preserve"> </w:t>
      </w:r>
      <w:hyperlink r:id="rId175">
        <w:r>
          <w:rPr>
            <w:rStyle w:val="Hyperlink"/>
          </w:rPr>
          <w:t xml:space="preserve">https://doi.org/10.1002/hec.953</w:t>
        </w:r>
      </w:hyperlink>
      <w:r>
        <w:t xml:space="preserve">.</w:t>
      </w:r>
    </w:p>
    <w:bookmarkEnd w:id="176"/>
    <w:bookmarkStart w:id="178" w:name="ref-wagstaff2003decomposing"/>
    <w:p>
      <w:pPr>
        <w:pStyle w:val="Bibliography"/>
      </w:pPr>
      <w:r>
        <w:t xml:space="preserve">Wagstaff, A., van Doorslaer, E. and Watanabe, N.</w:t>
      </w:r>
      <w:r>
        <w:t xml:space="preserve"> </w:t>
      </w:r>
      <w:r>
        <w:t xml:space="preserve">(2003)</w:t>
      </w:r>
      <w:r>
        <w:t xml:space="preserve"> </w:t>
      </w:r>
      <w:r>
        <w:t xml:space="preserve">‘On decomposing the causes of health sector inequalities with an application to malnutrition inequalities in vietnam’</w:t>
      </w:r>
      <w:r>
        <w:t xml:space="preserve">,</w:t>
      </w:r>
      <w:r>
        <w:t xml:space="preserve"> </w:t>
      </w:r>
      <w:r>
        <w:rPr>
          <w:i/>
          <w:iCs/>
        </w:rPr>
        <w:t xml:space="preserve">Journal of Econometrics</w:t>
      </w:r>
      <w:r>
        <w:t xml:space="preserve">, 112(1), pp. 207–223. Available at:</w:t>
      </w:r>
      <w:r>
        <w:t xml:space="preserve"> </w:t>
      </w:r>
      <w:hyperlink r:id="rId177">
        <w:r>
          <w:rPr>
            <w:rStyle w:val="Hyperlink"/>
          </w:rPr>
          <w:t xml:space="preserve">https://doi.org/10.1016/S0304-4076(02)00161-6</w:t>
        </w:r>
      </w:hyperlink>
      <w:r>
        <w:t xml:space="preserve">.</w:t>
      </w:r>
    </w:p>
    <w:bookmarkEnd w:id="178"/>
    <w:bookmarkStart w:id="180" w:name="ref-who_gho_under5_mortality_indicator"/>
    <w:p>
      <w:pPr>
        <w:pStyle w:val="Bibliography"/>
      </w:pPr>
      <w:r>
        <w:t xml:space="preserve">World Health Organisation (2026)</w:t>
      </w:r>
      <w:r>
        <w:t xml:space="preserve"> </w:t>
      </w:r>
      <w:r>
        <w:rPr>
          <w:i/>
          <w:iCs/>
        </w:rPr>
        <w:t xml:space="preserve">Child deaths: Under-five mortality rate (per 1000 live births) (SDG 3.2.1)</w:t>
      </w:r>
      <w:r>
        <w:t xml:space="preserve">. Available at:</w:t>
      </w:r>
      <w:r>
        <w:t xml:space="preserve"> </w:t>
      </w:r>
      <w:hyperlink r:id="rId179">
        <w:r>
          <w:rPr>
            <w:rStyle w:val="Hyperlink"/>
          </w:rPr>
          <w:t xml:space="preserve">https://www.who.int/data/gho/data/indicators/indicator-details/GHO/under-five-mortality-rate-(probability-of-dying-by-age-5-per-1000-live-births)</w:t>
        </w:r>
      </w:hyperlink>
      <w:r>
        <w:t xml:space="preserve"> </w:t>
      </w:r>
      <w:r>
        <w:t xml:space="preserve">(Accessed: 26 April 2026).</w:t>
      </w:r>
    </w:p>
    <w:bookmarkEnd w:id="180"/>
    <w:bookmarkStart w:id="182" w:name="ref-wright2017ranger"/>
    <w:p>
      <w:pPr>
        <w:pStyle w:val="Bibliography"/>
      </w:pPr>
      <w:r>
        <w:t xml:space="preserve">Wright, M.N. and Ziegler, A. (2017)</w:t>
      </w:r>
      <w:r>
        <w:t xml:space="preserve"> </w:t>
      </w:r>
      <w:r>
        <w:t xml:space="preserve">‘Ranger: A fast implementation of random forests for high dimensional data in</w:t>
      </w:r>
      <w:r>
        <w:t xml:space="preserve"> </w:t>
      </w:r>
      <w:r>
        <w:t xml:space="preserve">C++</w:t>
      </w:r>
      <w:r>
        <w:t xml:space="preserve"> </w:t>
      </w:r>
      <w:r>
        <w:t xml:space="preserve">and</w:t>
      </w:r>
      <w:r>
        <w:t xml:space="preserve"> </w:t>
      </w:r>
      <w:r>
        <w:t xml:space="preserve">R</w:t>
      </w:r>
      <w:r>
        <w:t xml:space="preserve">’</w:t>
      </w:r>
      <w:r>
        <w:t xml:space="preserve">,</w:t>
      </w:r>
      <w:r>
        <w:t xml:space="preserve"> </w:t>
      </w:r>
      <w:r>
        <w:rPr>
          <w:i/>
          <w:iCs/>
        </w:rPr>
        <w:t xml:space="preserve">Journal of Statistical Software</w:t>
      </w:r>
      <w:r>
        <w:t xml:space="preserve">, 77(1), pp. 1–17. Available at:</w:t>
      </w:r>
      <w:r>
        <w:t xml:space="preserve"> </w:t>
      </w:r>
      <w:hyperlink r:id="rId181">
        <w:r>
          <w:rPr>
            <w:rStyle w:val="Hyperlink"/>
          </w:rPr>
          <w:t xml:space="preserve">https://doi.org/10.18637/jss.v077.i01</w:t>
        </w:r>
      </w:hyperlink>
      <w:r>
        <w:t xml:space="preserve">.</w:t>
      </w:r>
    </w:p>
    <w:bookmarkEnd w:id="182"/>
    <w:bookmarkEnd w:id="183"/>
    <w:bookmarkEnd w:id="184"/>
    <w:bookmarkStart w:id="283" w:name="sec-appendix"/>
    <w:p>
      <w:pPr>
        <w:pStyle w:val="Heading1"/>
      </w:pPr>
      <w:r>
        <w:t xml:space="preserve">Appendix</w:t>
      </w:r>
    </w:p>
    <w:bookmarkStart w:id="185" w:name="app-centered-rank-proof"/>
    <w:p>
      <w:pPr>
        <w:pStyle w:val="Heading2"/>
      </w:pPr>
      <w:r>
        <w:t xml:space="preserve">Appendix A: Proof that the Centered Ranks Sum to Zero</w:t>
      </w:r>
    </w:p>
    <w:p>
      <w:pPr>
        <w:pStyle w:val="FirstParagraph"/>
      </w:pPr>
      <w:r>
        <w:t xml:space="preserve">This appendix provides the algebra used in</w:t>
      </w:r>
      <w:r>
        <w:t xml:space="preserve"> </w:t>
      </w:r>
      <w:hyperlink w:anchor="sec-shap-decomposition-definition">
        <w:r>
          <w:rPr>
            <w:rStyle w:val="Hyperlink"/>
          </w:rPr>
          <w:t xml:space="preserve">Section 4.4</w:t>
        </w:r>
      </w:hyperlink>
      <w:r>
        <w:t xml:space="preserve">.</w:t>
      </w:r>
    </w:p>
    <w:p>
      <w:pPr>
        <w:pStyle w:val="BodyText"/>
      </w:pPr>
      <w:r>
        <w:t xml:space="preserve">For the standard fractional rank,</w:t>
      </w:r>
    </w:p>
    <w:p>
      <w:pPr>
        <w:pStyle w:val="BodyText"/>
      </w:pPr>
      <m:oMathPara>
        <m:oMathParaPr>
          <m:jc m:val="center"/>
        </m:oMathParaPr>
        <m:oMath>
          <m:sSub>
            <m:e>
              <m:r>
                <m:t>R</m:t>
              </m:r>
            </m:e>
            <m:sub>
              <m:r>
                <m:t>i</m:t>
              </m:r>
            </m:sub>
          </m:sSub>
          <m:r>
            <m:rPr>
              <m:sty m:val="p"/>
            </m:rPr>
            <m:t>=</m:t>
          </m:r>
          <m:f>
            <m:fPr>
              <m:type m:val="bar"/>
            </m:fPr>
            <m:num>
              <m:r>
                <m:t>i</m:t>
              </m:r>
              <m:r>
                <m:rPr>
                  <m:sty m:val="p"/>
                </m:rPr>
                <m:t>−</m:t>
              </m:r>
              <m:r>
                <m:t>0.5</m:t>
              </m:r>
            </m:num>
            <m:den>
              <m:r>
                <m:t>n</m:t>
              </m:r>
            </m:den>
          </m:f>
          <m:r>
            <m:rPr>
              <m:sty m:val="p"/>
            </m:rPr>
            <m:t>,</m:t>
          </m:r>
        </m:oMath>
      </m:oMathPara>
    </w:p>
    <w:p>
      <w:pPr>
        <w:pStyle w:val="FirstParagraph"/>
      </w:pPr>
      <w:r>
        <w:t xml:space="preserve">where</w:t>
      </w:r>
      <w:r>
        <w:t xml:space="preserve"> </w:t>
      </w:r>
      <m:oMath>
        <m:r>
          <m:t>i</m:t>
        </m:r>
      </m:oMath>
      <w:r>
        <w:t xml:space="preserve"> </w:t>
      </w:r>
      <w:r>
        <w:t xml:space="preserve">is the individual’s position (from</w:t>
      </w:r>
      <w:r>
        <w:t xml:space="preserve"> </w:t>
      </w:r>
      <m:oMath>
        <m:r>
          <m:t>1</m:t>
        </m:r>
      </m:oMath>
      <w:r>
        <w:t xml:space="preserve"> </w:t>
      </w:r>
      <w:r>
        <w:t xml:space="preserve">to</w:t>
      </w:r>
      <w:r>
        <w:t xml:space="preserve"> </w:t>
      </w:r>
      <m:oMath>
        <m:r>
          <m:t>n</m:t>
        </m:r>
      </m:oMath>
      <w:r>
        <w:t xml:space="preserve">) when ordered by socioeconomic status.</w:t>
      </w:r>
    </w:p>
    <w:p>
      <w:pPr>
        <w:pStyle w:val="BodyText"/>
      </w:pPr>
      <w:r>
        <w:t xml:space="preserve">If we sum this rank across all</w:t>
      </w:r>
      <w:r>
        <w:t xml:space="preserve"> </w:t>
      </w:r>
      <m:oMath>
        <m:r>
          <m:t>n</m:t>
        </m:r>
      </m:oMath>
      <w:r>
        <w:t xml:space="preserve"> </w:t>
      </w:r>
      <w:r>
        <w:t xml:space="preserve">individuals, we obtain</w:t>
      </w:r>
    </w:p>
    <w:p>
      <w:pPr>
        <w:pStyle w:val="BodyText"/>
      </w:pPr>
      <m:oMathPara>
        <m:oMathParaPr>
          <m:jc m:val="center"/>
        </m:oMathParaPr>
        <m:oMath>
          <m:eqArr>
            <m:e>
              <m:nary>
                <m:naryPr>
                  <m:chr m:val="∑"/>
                  <m:limLoc m:val="undOvr"/>
                  <m:subHide m:val="off"/>
                  <m:supHide m:val="off"/>
                </m:naryPr>
                <m:sub>
                  <m:r>
                    <m:t>i</m:t>
                  </m:r>
                  <m:r>
                    <m:rPr>
                      <m:sty m:val="p"/>
                    </m:rPr>
                    <m:t>=</m:t>
                  </m:r>
                  <m:r>
                    <m:t>1</m:t>
                  </m:r>
                </m:sub>
                <m:sup>
                  <m:r>
                    <m:t>n</m:t>
                  </m:r>
                </m:sup>
                <m:e>
                  <m:sSub>
                    <m:e>
                      <m:r>
                        <m:t>R</m:t>
                      </m:r>
                    </m:e>
                    <m:sub>
                      <m:r>
                        <m:t>i</m:t>
                      </m:r>
                    </m:sub>
                  </m:sSub>
                </m:e>
              </m:nary>
              <m:r>
                <m:t>&amp;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r>
                <m:t>i</m:t>
              </m:r>
              <m:r>
                <m:rPr>
                  <m:sty m:val="p"/>
                </m:rPr>
                <m:t>−</m:t>
              </m:r>
              <m:r>
                <m:t>0.5</m:t>
              </m:r>
              <m:r>
                <m:rPr>
                  <m:sty m:val="p"/>
                </m:rPr>
                <m:t>)</m:t>
              </m:r>
            </m:e>
            <m:e>
              <m:r>
                <m:t>&amp;</m:t>
              </m:r>
              <m:r>
                <m:rPr>
                  <m:sty m:val="p"/>
                </m:rPr>
                <m:t>=</m:t>
              </m:r>
              <m:f>
                <m:fPr>
                  <m:type m:val="bar"/>
                </m:fPr>
                <m:num>
                  <m:r>
                    <m:t>1</m:t>
                  </m:r>
                </m:num>
                <m:den>
                  <m:r>
                    <m:t>n</m:t>
                  </m:r>
                </m:den>
              </m:f>
              <m:d>
                <m:dPr>
                  <m:begChr m:val="("/>
                  <m:sepChr m:val=""/>
                  <m:endChr m:val=")"/>
                  <m:grow/>
                </m:dPr>
                <m:e>
                  <m:nary>
                    <m:naryPr>
                      <m:chr m:val="∑"/>
                      <m:limLoc m:val="undOvr"/>
                      <m:subHide m:val="off"/>
                      <m:supHide m:val="off"/>
                    </m:naryPr>
                    <m:sub>
                      <m:r>
                        <m:t>i</m:t>
                      </m:r>
                      <m:r>
                        <m:rPr>
                          <m:sty m:val="p"/>
                        </m:rPr>
                        <m:t>=</m:t>
                      </m:r>
                      <m:r>
                        <m:t>1</m:t>
                      </m:r>
                    </m:sub>
                    <m:sup>
                      <m:r>
                        <m:t>n</m:t>
                      </m:r>
                    </m:sup>
                    <m:e>
                      <m:r>
                        <m:t>i</m:t>
                      </m:r>
                    </m:e>
                  </m:nary>
                  <m:r>
                    <m:rPr>
                      <m:sty m:val="p"/>
                    </m:rPr>
                    <m:t>−</m:t>
                  </m:r>
                  <m:nary>
                    <m:naryPr>
                      <m:chr m:val="∑"/>
                      <m:limLoc m:val="undOvr"/>
                      <m:subHide m:val="off"/>
                      <m:supHide m:val="off"/>
                    </m:naryPr>
                    <m:sub>
                      <m:r>
                        <m:t>i</m:t>
                      </m:r>
                      <m:r>
                        <m:rPr>
                          <m:sty m:val="p"/>
                        </m:rPr>
                        <m:t>=</m:t>
                      </m:r>
                      <m:r>
                        <m:t>1</m:t>
                      </m:r>
                    </m:sub>
                    <m:sup>
                      <m:r>
                        <m:t>n</m:t>
                      </m:r>
                    </m:sup>
                    <m:e>
                      <m:r>
                        <m:t>0.5</m:t>
                      </m:r>
                    </m:e>
                  </m:nary>
                </m:e>
              </m:d>
              <m:r>
                <m:rPr>
                  <m:sty m:val="p"/>
                </m:rPr>
                <m:t>.</m:t>
              </m:r>
            </m:e>
          </m:eqArr>
        </m:oMath>
      </m:oMathPara>
    </w:p>
    <w:p>
      <w:pPr>
        <w:pStyle w:val="FirstParagraph"/>
      </w:pPr>
      <w:r>
        <w:t xml:space="preserve">Using</w:t>
      </w:r>
      <w:r>
        <w:t xml:space="preserve"> </w:t>
      </w:r>
      <m:oMath>
        <m:nary>
          <m:naryPr>
            <m:chr m:val="∑"/>
            <m:limLoc m:val="undOvr"/>
            <m:subHide m:val="off"/>
            <m:supHide m:val="off"/>
          </m:naryPr>
          <m:sub>
            <m:r>
              <m:t>i</m:t>
            </m:r>
            <m:r>
              <m:rPr>
                <m:sty m:val="p"/>
              </m:rPr>
              <m:t>=</m:t>
            </m:r>
            <m:r>
              <m:t>1</m:t>
            </m:r>
          </m:sub>
          <m:sup>
            <m:r>
              <m:t>n</m:t>
            </m:r>
          </m:sup>
          <m:e>
            <m:r>
              <m:t>i</m:t>
            </m:r>
          </m:e>
        </m:nary>
        <m:r>
          <m:rPr>
            <m:sty m:val="p"/>
          </m:rPr>
          <m:t>=</m:t>
        </m:r>
        <m:f>
          <m:fPr>
            <m:type m:val="bar"/>
          </m:fPr>
          <m:num>
            <m:r>
              <m:t>n</m:t>
            </m:r>
            <m:r>
              <m:rPr>
                <m:sty m:val="p"/>
              </m:rPr>
              <m:t>(</m:t>
            </m:r>
            <m:r>
              <m:t>n</m:t>
            </m:r>
            <m:r>
              <m:rPr>
                <m:sty m:val="p"/>
              </m:rPr>
              <m:t>+</m:t>
            </m:r>
            <m:r>
              <m:t>1</m:t>
            </m:r>
            <m:r>
              <m:rPr>
                <m:sty m:val="p"/>
              </m:rPr>
              <m:t>)</m:t>
            </m:r>
          </m:num>
          <m:den>
            <m:r>
              <m:t>2</m:t>
            </m:r>
          </m:den>
        </m:f>
      </m:oMath>
      <w:r>
        <w:t xml:space="preserve"> </w:t>
      </w:r>
      <w:r>
        <w:t xml:space="preserve">and</w:t>
      </w:r>
      <w:r>
        <w:t xml:space="preserve"> </w:t>
      </w:r>
      <m:oMath>
        <m:nary>
          <m:naryPr>
            <m:chr m:val="∑"/>
            <m:limLoc m:val="undOvr"/>
            <m:subHide m:val="off"/>
            <m:supHide m:val="off"/>
          </m:naryPr>
          <m:sub>
            <m:r>
              <m:t>i</m:t>
            </m:r>
            <m:r>
              <m:rPr>
                <m:sty m:val="p"/>
              </m:rPr>
              <m:t>=</m:t>
            </m:r>
            <m:r>
              <m:t>1</m:t>
            </m:r>
          </m:sub>
          <m:sup>
            <m:r>
              <m:t>n</m:t>
            </m:r>
          </m:sup>
          <m:e>
            <m:r>
              <m:t>0.5</m:t>
            </m:r>
          </m:e>
        </m:nary>
        <m:r>
          <m:rPr>
            <m:sty m:val="p"/>
          </m:rPr>
          <m:t>=</m:t>
        </m:r>
        <m:r>
          <m:t>0.5</m:t>
        </m:r>
        <m:r>
          <m:t>n</m:t>
        </m:r>
      </m:oMath>
      <w:r>
        <w:t xml:space="preserve">, it follows that</w:t>
      </w:r>
    </w:p>
    <w:p>
      <w:pPr>
        <w:pStyle w:val="BodyText"/>
      </w:pPr>
      <m:oMathPara>
        <m:oMathParaPr>
          <m:jc m:val="center"/>
        </m:oMathParaPr>
        <m:oMath>
          <m:eqArr>
            <m:e>
              <m:nary>
                <m:naryPr>
                  <m:chr m:val="∑"/>
                  <m:limLoc m:val="undOvr"/>
                  <m:subHide m:val="off"/>
                  <m:supHide m:val="off"/>
                </m:naryPr>
                <m:sub>
                  <m:r>
                    <m:t>i</m:t>
                  </m:r>
                  <m:r>
                    <m:rPr>
                      <m:sty m:val="p"/>
                    </m:rPr>
                    <m:t>=</m:t>
                  </m:r>
                  <m:r>
                    <m:t>1</m:t>
                  </m:r>
                </m:sub>
                <m:sup>
                  <m:r>
                    <m:t>n</m:t>
                  </m:r>
                </m:sup>
                <m:e>
                  <m:sSub>
                    <m:e>
                      <m:r>
                        <m:t>R</m:t>
                      </m:r>
                    </m:e>
                    <m:sub>
                      <m:r>
                        <m:t>i</m:t>
                      </m:r>
                    </m:sub>
                  </m:sSub>
                </m:e>
              </m:nary>
              <m:r>
                <m:t>&amp;</m:t>
              </m:r>
              <m:r>
                <m:rPr>
                  <m:sty m:val="p"/>
                </m:rPr>
                <m:t>=</m:t>
              </m:r>
              <m:f>
                <m:fPr>
                  <m:type m:val="bar"/>
                </m:fPr>
                <m:num>
                  <m:r>
                    <m:t>1</m:t>
                  </m:r>
                </m:num>
                <m:den>
                  <m:r>
                    <m:t>n</m:t>
                  </m:r>
                </m:den>
              </m:f>
              <m:d>
                <m:dPr>
                  <m:begChr m:val="("/>
                  <m:sepChr m:val=""/>
                  <m:endChr m:val=")"/>
                  <m:grow/>
                </m:dPr>
                <m:e>
                  <m:f>
                    <m:fPr>
                      <m:type m:val="bar"/>
                    </m:fPr>
                    <m:num>
                      <m:r>
                        <m:t>n</m:t>
                      </m:r>
                      <m:r>
                        <m:rPr>
                          <m:sty m:val="p"/>
                        </m:rPr>
                        <m:t>(</m:t>
                      </m:r>
                      <m:r>
                        <m:t>n</m:t>
                      </m:r>
                      <m:r>
                        <m:rPr>
                          <m:sty m:val="p"/>
                        </m:rPr>
                        <m:t>+</m:t>
                      </m:r>
                      <m:r>
                        <m:t>1</m:t>
                      </m:r>
                      <m:r>
                        <m:rPr>
                          <m:sty m:val="p"/>
                        </m:rPr>
                        <m:t>)</m:t>
                      </m:r>
                    </m:num>
                    <m:den>
                      <m:r>
                        <m:t>2</m:t>
                      </m:r>
                    </m:den>
                  </m:f>
                  <m:r>
                    <m:rPr>
                      <m:sty m:val="p"/>
                    </m:rPr>
                    <m:t>−</m:t>
                  </m:r>
                  <m:r>
                    <m:t>0.5</m:t>
                  </m:r>
                  <m:r>
                    <m:t>n</m:t>
                  </m:r>
                </m:e>
              </m:d>
            </m:e>
            <m:e>
              <m:r>
                <m:t>&amp;</m:t>
              </m:r>
              <m:r>
                <m:rPr>
                  <m:sty m:val="p"/>
                </m:rPr>
                <m:t>=</m:t>
              </m:r>
              <m:f>
                <m:fPr>
                  <m:type m:val="bar"/>
                </m:fPr>
                <m:num>
                  <m:r>
                    <m:t>1</m:t>
                  </m:r>
                </m:num>
                <m:den>
                  <m:r>
                    <m:t>n</m:t>
                  </m:r>
                </m:den>
              </m:f>
              <m:d>
                <m:dPr>
                  <m:begChr m:val="("/>
                  <m:sepChr m:val=""/>
                  <m:endChr m:val=")"/>
                  <m:grow/>
                </m:dPr>
                <m:e>
                  <m:f>
                    <m:fPr>
                      <m:type m:val="bar"/>
                    </m:fPr>
                    <m:num>
                      <m:sSup>
                        <m:e>
                          <m:r>
                            <m:t>n</m:t>
                          </m:r>
                        </m:e>
                        <m:sup>
                          <m:r>
                            <m:t>2</m:t>
                          </m:r>
                        </m:sup>
                      </m:sSup>
                      <m:r>
                        <m:rPr>
                          <m:sty m:val="p"/>
                        </m:rPr>
                        <m:t>+</m:t>
                      </m:r>
                      <m:r>
                        <m:t>n</m:t>
                      </m:r>
                      <m:r>
                        <m:rPr>
                          <m:sty m:val="p"/>
                        </m:rPr>
                        <m:t>−</m:t>
                      </m:r>
                      <m:r>
                        <m:t>n</m:t>
                      </m:r>
                    </m:num>
                    <m:den>
                      <m:r>
                        <m:t>2</m:t>
                      </m:r>
                    </m:den>
                  </m:f>
                </m:e>
              </m:d>
            </m:e>
            <m:e>
              <m:r>
                <m:t>&amp;</m:t>
              </m:r>
              <m:r>
                <m:rPr>
                  <m:sty m:val="p"/>
                </m:rPr>
                <m:t>=</m:t>
              </m:r>
              <m:f>
                <m:fPr>
                  <m:type m:val="bar"/>
                </m:fPr>
                <m:num>
                  <m:r>
                    <m:t>1</m:t>
                  </m:r>
                </m:num>
                <m:den>
                  <m:r>
                    <m:t>n</m:t>
                  </m:r>
                </m:den>
              </m:f>
              <m:d>
                <m:dPr>
                  <m:begChr m:val="("/>
                  <m:sepChr m:val=""/>
                  <m:endChr m:val=")"/>
                  <m:grow/>
                </m:dPr>
                <m:e>
                  <m:f>
                    <m:fPr>
                      <m:type m:val="bar"/>
                    </m:fPr>
                    <m:num>
                      <m:sSup>
                        <m:e>
                          <m:r>
                            <m:t>n</m:t>
                          </m:r>
                        </m:e>
                        <m:sup>
                          <m:r>
                            <m:t>2</m:t>
                          </m:r>
                        </m:sup>
                      </m:sSup>
                    </m:num>
                    <m:den>
                      <m:r>
                        <m:t>2</m:t>
                      </m:r>
                    </m:den>
                  </m:f>
                </m:e>
              </m:d>
            </m:e>
            <m:e>
              <m:r>
                <m:t>&amp;</m:t>
              </m:r>
              <m:r>
                <m:rPr>
                  <m:sty m:val="p"/>
                </m:rPr>
                <m:t>=</m:t>
              </m:r>
              <m:f>
                <m:fPr>
                  <m:type m:val="bar"/>
                </m:fPr>
                <m:num>
                  <m:r>
                    <m:t>n</m:t>
                  </m:r>
                </m:num>
                <m:den>
                  <m:r>
                    <m:t>2</m:t>
                  </m:r>
                </m:den>
              </m:f>
              <m:r>
                <m:rPr>
                  <m:sty m:val="p"/>
                </m:rPr>
                <m:t>.</m:t>
              </m:r>
            </m:e>
          </m:eqArr>
        </m:oMath>
      </m:oMathPara>
    </w:p>
    <w:p>
      <w:pPr>
        <w:pStyle w:val="FirstParagraph"/>
      </w:pPr>
      <w:r>
        <w:t xml:space="preserve">Therefore,</w:t>
      </w:r>
    </w:p>
    <w:p>
      <w:pPr>
        <w:pStyle w:val="BodyText"/>
      </w:pPr>
      <m:oMathPara>
        <m:oMathParaPr>
          <m:jc m:val="center"/>
        </m:oMathParaPr>
        <m:oMath>
          <m:eqArr>
            <m:e>
              <m:nary>
                <m:naryPr>
                  <m:chr m:val="∑"/>
                  <m:limLoc m:val="undOvr"/>
                  <m:subHide m:val="off"/>
                  <m:supHide m:val="off"/>
                </m:naryPr>
                <m:sub>
                  <m:r>
                    <m:t>i</m:t>
                  </m:r>
                  <m:r>
                    <m:rPr>
                      <m:sty m:val="p"/>
                    </m:rPr>
                    <m:t>=</m:t>
                  </m:r>
                  <m:r>
                    <m:t>1</m:t>
                  </m:r>
                </m:sub>
                <m:sup>
                  <m:r>
                    <m:t>n</m:t>
                  </m:r>
                </m:sup>
                <m:e>
                  <m:d>
                    <m:dPr>
                      <m:begChr m:val="("/>
                      <m:sepChr m:val=""/>
                      <m:endChr m:val=")"/>
                      <m:grow/>
                    </m:dPr>
                    <m:e>
                      <m:sSub>
                        <m:e>
                          <m:r>
                            <m:t>R</m:t>
                          </m:r>
                        </m:e>
                        <m:sub>
                          <m:r>
                            <m:t>i</m:t>
                          </m:r>
                        </m:sub>
                      </m:sSub>
                      <m:r>
                        <m:rPr>
                          <m:sty m:val="p"/>
                        </m:rPr>
                        <m:t>−</m:t>
                      </m:r>
                      <m:f>
                        <m:fPr>
                          <m:type m:val="bar"/>
                        </m:fPr>
                        <m:num>
                          <m:r>
                            <m:t>1</m:t>
                          </m:r>
                        </m:num>
                        <m:den>
                          <m:r>
                            <m:t>2</m:t>
                          </m:r>
                        </m:den>
                      </m:f>
                    </m:e>
                  </m:d>
                </m:e>
              </m:nary>
              <m:r>
                <m:t>&amp;</m:t>
              </m:r>
              <m:r>
                <m:rPr>
                  <m:sty m:val="p"/>
                </m:rPr>
                <m:t>=</m:t>
              </m:r>
              <m:nary>
                <m:naryPr>
                  <m:chr m:val="∑"/>
                  <m:limLoc m:val="undOvr"/>
                  <m:subHide m:val="off"/>
                  <m:supHide m:val="off"/>
                </m:naryPr>
                <m:sub>
                  <m:r>
                    <m:t>i</m:t>
                  </m:r>
                  <m:r>
                    <m:rPr>
                      <m:sty m:val="p"/>
                    </m:rPr>
                    <m:t>=</m:t>
                  </m:r>
                  <m:r>
                    <m:t>1</m:t>
                  </m:r>
                </m:sub>
                <m:sup>
                  <m:r>
                    <m:t>n</m:t>
                  </m:r>
                </m:sup>
                <m:e>
                  <m:sSub>
                    <m:e>
                      <m:r>
                        <m:t>R</m:t>
                      </m:r>
                    </m:e>
                    <m:sub>
                      <m:r>
                        <m:t>i</m:t>
                      </m:r>
                    </m:sub>
                  </m:sSub>
                </m:e>
              </m:nary>
              <m:r>
                <m:rPr>
                  <m:sty m:val="p"/>
                </m:rPr>
                <m:t>−</m:t>
              </m:r>
              <m:nary>
                <m:naryPr>
                  <m:chr m:val="∑"/>
                  <m:limLoc m:val="undOvr"/>
                  <m:subHide m:val="off"/>
                  <m:supHide m:val="off"/>
                </m:naryPr>
                <m:sub>
                  <m:r>
                    <m:t>i</m:t>
                  </m:r>
                  <m:r>
                    <m:rPr>
                      <m:sty m:val="p"/>
                    </m:rPr>
                    <m:t>=</m:t>
                  </m:r>
                  <m:r>
                    <m:t>1</m:t>
                  </m:r>
                </m:sub>
                <m:sup>
                  <m:r>
                    <m:t>n</m:t>
                  </m:r>
                </m:sup>
                <m:e>
                  <m:f>
                    <m:fPr>
                      <m:type m:val="bar"/>
                    </m:fPr>
                    <m:num>
                      <m:r>
                        <m:t>1</m:t>
                      </m:r>
                    </m:num>
                    <m:den>
                      <m:r>
                        <m:t>2</m:t>
                      </m:r>
                    </m:den>
                  </m:f>
                </m:e>
              </m:nary>
            </m:e>
            <m:e>
              <m:r>
                <m:t>&amp;</m:t>
              </m:r>
              <m:r>
                <m:rPr>
                  <m:sty m:val="p"/>
                </m:rPr>
                <m:t>=</m:t>
              </m:r>
              <m:f>
                <m:fPr>
                  <m:type m:val="bar"/>
                </m:fPr>
                <m:num>
                  <m:r>
                    <m:t>n</m:t>
                  </m:r>
                </m:num>
                <m:den>
                  <m:r>
                    <m:t>2</m:t>
                  </m:r>
                </m:den>
              </m:f>
              <m:r>
                <m:rPr>
                  <m:sty m:val="p"/>
                </m:rPr>
                <m:t>−</m:t>
              </m:r>
              <m:d>
                <m:dPr>
                  <m:begChr m:val="("/>
                  <m:sepChr m:val=""/>
                  <m:endChr m:val=")"/>
                  <m:grow/>
                </m:dPr>
                <m:e>
                  <m:r>
                    <m:t>n</m:t>
                  </m:r>
                  <m:r>
                    <m:rPr>
                      <m:sty m:val="p"/>
                    </m:rPr>
                    <m:t>×</m:t>
                  </m:r>
                  <m:f>
                    <m:fPr>
                      <m:type m:val="bar"/>
                    </m:fPr>
                    <m:num>
                      <m:r>
                        <m:t>1</m:t>
                      </m:r>
                    </m:num>
                    <m:den>
                      <m:r>
                        <m:t>2</m:t>
                      </m:r>
                    </m:den>
                  </m:f>
                </m:e>
              </m:d>
            </m:e>
            <m:e>
              <m:r>
                <m:t>&amp;</m:t>
              </m:r>
              <m:r>
                <m:rPr>
                  <m:sty m:val="p"/>
                </m:rPr>
                <m:t>=</m:t>
              </m:r>
              <m:f>
                <m:fPr>
                  <m:type m:val="bar"/>
                </m:fPr>
                <m:num>
                  <m:r>
                    <m:t>n</m:t>
                  </m:r>
                </m:num>
                <m:den>
                  <m:r>
                    <m:t>2</m:t>
                  </m:r>
                </m:den>
              </m:f>
              <m:r>
                <m:rPr>
                  <m:sty m:val="p"/>
                </m:rPr>
                <m:t>−</m:t>
              </m:r>
              <m:f>
                <m:fPr>
                  <m:type m:val="bar"/>
                </m:fPr>
                <m:num>
                  <m:r>
                    <m:t>n</m:t>
                  </m:r>
                </m:num>
                <m:den>
                  <m:r>
                    <m:t>2</m:t>
                  </m:r>
                </m:den>
              </m:f>
            </m:e>
            <m:e>
              <m:r>
                <m:t>&amp;</m:t>
              </m:r>
              <m:r>
                <m:rPr>
                  <m:sty m:val="p"/>
                </m:rPr>
                <m:t>=</m:t>
              </m:r>
              <m:r>
                <m:t>0</m:t>
              </m:r>
              <m:r>
                <m:rPr>
                  <m:sty m:val="p"/>
                </m:rPr>
                <m:t>.</m:t>
              </m:r>
            </m:e>
          </m:eqArr>
        </m:oMath>
      </m:oMathPara>
    </w:p>
    <w:bookmarkEnd w:id="185"/>
    <w:bookmarkStart w:id="186" w:name="app-ci-cig-example"/>
    <w:p>
      <w:pPr>
        <w:pStyle w:val="Heading2"/>
      </w:pPr>
      <w:r>
        <w:t xml:space="preserve">Appendix B: Numerical Example Comparing</w:t>
      </w:r>
      <w:r>
        <w:t xml:space="preserve"> </w:t>
      </w:r>
      <m:oMath>
        <m:r>
          <m:t>C</m:t>
        </m:r>
        <m:r>
          <m:t>I</m:t>
        </m:r>
      </m:oMath>
      <w:r>
        <w:t xml:space="preserve"> </w:t>
      </w:r>
      <w:r>
        <w:t xml:space="preserve">and</w:t>
      </w:r>
      <w:r>
        <w:t xml:space="preserve"> </w:t>
      </w:r>
      <m:oMath>
        <m:r>
          <m:t>C</m:t>
        </m:r>
        <m:r>
          <m:t>I</m:t>
        </m:r>
        <m:r>
          <m:t>g</m:t>
        </m:r>
      </m:oMath>
    </w:p>
    <w:p>
      <w:pPr>
        <w:pStyle w:val="FirstParagraph"/>
      </w:pPr>
      <w:r>
        <w:t xml:space="preserve">This appendix illustrates the result stated in</w:t>
      </w:r>
      <w:r>
        <w:t xml:space="preserve"> </w:t>
      </w:r>
      <w:hyperlink w:anchor="sec-split-behaviour-impurity">
        <w:r>
          <w:rPr>
            <w:rStyle w:val="Hyperlink"/>
          </w:rPr>
          <w:t xml:space="preserve">Section 3.3.4</w:t>
        </w:r>
      </w:hyperlink>
      <w:r>
        <w:t xml:space="preserve">.</w:t>
      </w:r>
    </w:p>
    <w:p>
      <w:pPr>
        <w:pStyle w:val="BodyText"/>
      </w:pPr>
      <w:r>
        <w:t xml:space="preserve">Consider two candidate splits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with equal child-node weights</w:t>
      </w:r>
      <w:r>
        <w:t xml:space="preserve"> </w:t>
      </w:r>
      <m:oMath>
        <m:sSub>
          <m:e>
            <m:r>
              <m:t>p</m:t>
            </m:r>
          </m:e>
          <m:sub>
            <m:r>
              <m:t>L</m:t>
            </m:r>
          </m:sub>
        </m:sSub>
        <m:r>
          <m:rPr>
            <m:sty m:val="p"/>
          </m:rPr>
          <m:t>=</m:t>
        </m:r>
        <m:sSub>
          <m:e>
            <m:r>
              <m:t>p</m:t>
            </m:r>
          </m:e>
          <m:sub>
            <m:r>
              <m:t>R</m:t>
            </m:r>
          </m:sub>
        </m:sSub>
        <m:r>
          <m:rPr>
            <m:sty m:val="p"/>
          </m:rPr>
          <m:t>=</m:t>
        </m:r>
        <m:f>
          <m:fPr>
            <m:type m:val="lin"/>
          </m:fPr>
          <m:num>
            <m:r>
              <m:t>1</m:t>
            </m:r>
          </m:num>
          <m:den>
            <m:r>
              <m:t>2</m:t>
            </m:r>
          </m:den>
        </m:f>
      </m:oMath>
      <w:r>
        <w:t xml:space="preserve">. Here</w:t>
      </w:r>
      <w:r>
        <w:t xml:space="preserve"> </w:t>
      </w:r>
      <m:oMath>
        <m:sSub>
          <m:e>
            <m:r>
              <m:t>A</m:t>
            </m:r>
          </m:e>
          <m:sub>
            <m:sSub>
              <m:e>
                <m:r>
                  <m:t>t</m:t>
                </m:r>
              </m:e>
              <m:sub>
                <m:r>
                  <m:t>L</m:t>
                </m:r>
              </m:sub>
            </m:sSub>
          </m:sub>
        </m:sSub>
      </m:oMath>
      <w:r>
        <w:t xml:space="preserve"> </w:t>
      </w:r>
      <w:r>
        <w:t xml:space="preserve">and</w:t>
      </w:r>
      <w:r>
        <w:t xml:space="preserve"> </w:t>
      </w:r>
      <m:oMath>
        <m:sSub>
          <m:e>
            <m:r>
              <m:t>A</m:t>
            </m:r>
          </m:e>
          <m:sub>
            <m:sSub>
              <m:e>
                <m:r>
                  <m:t>t</m:t>
                </m:r>
              </m:e>
              <m:sub>
                <m:r>
                  <m:t>R</m:t>
                </m:r>
              </m:sub>
            </m:sSub>
          </m:sub>
        </m:sSub>
      </m:oMath>
      <w:r>
        <w:t xml:space="preserve"> </w:t>
      </w:r>
      <w:r>
        <w:t xml:space="preserve">denote the absolute generalised concentration-index components in the left and right child nodes, while</w:t>
      </w:r>
      <w:r>
        <w:t xml:space="preserve"> </w:t>
      </w:r>
      <m:oMath>
        <m:sSub>
          <m:e>
            <m:r>
              <m:t>μ</m:t>
            </m:r>
          </m:e>
          <m:sub>
            <m:sSub>
              <m:e>
                <m:r>
                  <m:t>t</m:t>
                </m:r>
              </m:e>
              <m:sub>
                <m:r>
                  <m:t>L</m:t>
                </m:r>
              </m:sub>
            </m:sSub>
          </m:sub>
        </m:sSub>
      </m:oMath>
      <w:r>
        <w:t xml:space="preserve"> </w:t>
      </w:r>
      <w:r>
        <w:t xml:space="preserve">and</w:t>
      </w:r>
      <w:r>
        <w:t xml:space="preserve"> </w:t>
      </w:r>
      <m:oMath>
        <m:sSub>
          <m:e>
            <m:r>
              <m:t>μ</m:t>
            </m:r>
          </m:e>
          <m:sub>
            <m:sSub>
              <m:e>
                <m:r>
                  <m:t>t</m:t>
                </m:r>
              </m:e>
              <m:sub>
                <m:r>
                  <m:t>R</m:t>
                </m:r>
              </m:sub>
            </m:sSub>
          </m:sub>
        </m:sSub>
      </m:oMath>
      <w:r>
        <w:t xml:space="preserve"> </w:t>
      </w:r>
      <w:r>
        <w:t xml:space="preserve">are the corresponding child-node mean outcomes.</w:t>
      </w:r>
    </w:p>
    <w:p>
      <w:pPr>
        <w:pStyle w:val="BodyText"/>
      </w:pPr>
      <w:r>
        <w:t xml:space="preserve">For</w:t>
      </w:r>
      <w:r>
        <w:t xml:space="preserve"> </w:t>
      </w:r>
      <m:oMath>
        <m:sSub>
          <m:e>
            <m:r>
              <m:t>s</m:t>
            </m:r>
          </m:e>
          <m:sub>
            <m:r>
              <m:t>1</m:t>
            </m:r>
          </m:sub>
        </m:sSub>
      </m:oMath>
      <w:r>
        <w:t xml:space="preserve">, suppose</w:t>
      </w:r>
    </w:p>
    <w:p>
      <w:pPr>
        <w:pStyle w:val="BodyText"/>
      </w:pPr>
      <m:oMathPara>
        <m:oMathParaPr>
          <m:jc m:val="center"/>
        </m:oMathParaPr>
        <m:oMath>
          <m:sSub>
            <m:e>
              <m:r>
                <m:t>A</m:t>
              </m:r>
            </m:e>
            <m:sub>
              <m:sSub>
                <m:e>
                  <m:r>
                    <m:t>t</m:t>
                  </m:r>
                </m:e>
                <m:sub>
                  <m:r>
                    <m:t>L</m:t>
                  </m:r>
                </m:sub>
              </m:sSub>
            </m:sub>
          </m:sSub>
          <m:r>
            <m:rPr>
              <m:sty m:val="p"/>
            </m:rPr>
            <m:t>=</m:t>
          </m:r>
          <m:sSub>
            <m:e>
              <m:r>
                <m:t>A</m:t>
              </m:r>
            </m:e>
            <m:sub>
              <m:sSub>
                <m:e>
                  <m:r>
                    <m:t>t</m:t>
                  </m:r>
                </m:e>
                <m:sub>
                  <m:r>
                    <m:t>R</m:t>
                  </m:r>
                </m:sub>
              </m:sSub>
            </m:sub>
          </m:sSub>
          <m:r>
            <m:rPr>
              <m:sty m:val="p"/>
            </m:rPr>
            <m:t>=</m:t>
          </m:r>
          <m:r>
            <m:t>0.06</m:t>
          </m:r>
          <m:r>
            <m:rPr>
              <m:sty m:val="p"/>
            </m:rPr>
            <m:t>,</m:t>
          </m:r>
          <m:r>
            <m:t>  </m:t>
          </m:r>
          <m:sSub>
            <m:e>
              <m:r>
                <m:t>μ</m:t>
              </m:r>
            </m:e>
            <m:sub>
              <m:sSub>
                <m:e>
                  <m:r>
                    <m:t>t</m:t>
                  </m:r>
                </m:e>
                <m:sub>
                  <m:r>
                    <m:t>L</m:t>
                  </m:r>
                </m:sub>
              </m:sSub>
            </m:sub>
          </m:sSub>
          <m:r>
            <m:rPr>
              <m:sty m:val="p"/>
            </m:rPr>
            <m:t>=</m:t>
          </m:r>
          <m:sSub>
            <m:e>
              <m:r>
                <m:t>μ</m:t>
              </m:r>
            </m:e>
            <m:sub>
              <m:sSub>
                <m:e>
                  <m:r>
                    <m:t>t</m:t>
                  </m:r>
                </m:e>
                <m:sub>
                  <m:r>
                    <m:t>R</m:t>
                  </m:r>
                </m:sub>
              </m:sSub>
            </m:sub>
          </m:sSub>
          <m:r>
            <m:rPr>
              <m:sty m:val="p"/>
            </m:rPr>
            <m:t>=</m:t>
          </m:r>
          <m:r>
            <m:t>0.10</m:t>
          </m:r>
          <m:r>
            <m:rPr>
              <m:sty m:val="p"/>
            </m:rPr>
            <m:t>.</m:t>
          </m:r>
        </m:oMath>
      </m:oMathPara>
    </w:p>
    <w:p>
      <w:pPr>
        <w:pStyle w:val="FirstParagraph"/>
      </w:pPr>
      <w:r>
        <w:t xml:space="preserve">For</w:t>
      </w:r>
      <w:r>
        <w:t xml:space="preserve"> </w:t>
      </w:r>
      <m:oMath>
        <m:sSub>
          <m:e>
            <m:r>
              <m:t>s</m:t>
            </m:r>
          </m:e>
          <m:sub>
            <m:r>
              <m:t>2</m:t>
            </m:r>
          </m:sub>
        </m:sSub>
      </m:oMath>
      <w:r>
        <w:t xml:space="preserve">, suppose</w:t>
      </w:r>
    </w:p>
    <w:p>
      <w:pPr>
        <w:pStyle w:val="BodyText"/>
      </w:pPr>
      <m:oMathPara>
        <m:oMathParaPr>
          <m:jc m:val="center"/>
        </m:oMathParaPr>
        <m:oMath>
          <m:sSub>
            <m:e>
              <m:r>
                <m:t>A</m:t>
              </m:r>
            </m:e>
            <m:sub>
              <m:sSub>
                <m:e>
                  <m:r>
                    <m:t>t</m:t>
                  </m:r>
                </m:e>
                <m:sub>
                  <m:r>
                    <m:t>L</m:t>
                  </m:r>
                </m:sub>
              </m:sSub>
            </m:sub>
          </m:sSub>
          <m:r>
            <m:rPr>
              <m:sty m:val="p"/>
            </m:rPr>
            <m:t>=</m:t>
          </m:r>
          <m:sSub>
            <m:e>
              <m:r>
                <m:t>A</m:t>
              </m:r>
            </m:e>
            <m:sub>
              <m:sSub>
                <m:e>
                  <m:r>
                    <m:t>t</m:t>
                  </m:r>
                </m:e>
                <m:sub>
                  <m:r>
                    <m:t>R</m:t>
                  </m:r>
                </m:sub>
              </m:sSub>
            </m:sub>
          </m:sSub>
          <m:r>
            <m:rPr>
              <m:sty m:val="p"/>
            </m:rPr>
            <m:t>=</m:t>
          </m:r>
          <m:r>
            <m:t>0.08</m:t>
          </m:r>
          <m:r>
            <m:rPr>
              <m:sty m:val="p"/>
            </m:rPr>
            <m:t>,</m:t>
          </m:r>
          <m:r>
            <m:t>  </m:t>
          </m:r>
          <m:sSub>
            <m:e>
              <m:r>
                <m:t>μ</m:t>
              </m:r>
            </m:e>
            <m:sub>
              <m:sSub>
                <m:e>
                  <m:r>
                    <m:t>t</m:t>
                  </m:r>
                </m:e>
                <m:sub>
                  <m:r>
                    <m:t>L</m:t>
                  </m:r>
                </m:sub>
              </m:sSub>
            </m:sub>
          </m:sSub>
          <m:r>
            <m:rPr>
              <m:sty m:val="p"/>
            </m:rPr>
            <m:t>=</m:t>
          </m:r>
          <m:sSub>
            <m:e>
              <m:r>
                <m:t>μ</m:t>
              </m:r>
            </m:e>
            <m:sub>
              <m:sSub>
                <m:e>
                  <m:r>
                    <m:t>t</m:t>
                  </m:r>
                </m:e>
                <m:sub>
                  <m:r>
                    <m:t>R</m:t>
                  </m:r>
                </m:sub>
              </m:sSub>
            </m:sub>
          </m:sSub>
          <m:r>
            <m:rPr>
              <m:sty m:val="p"/>
            </m:rPr>
            <m:t>=</m:t>
          </m:r>
          <m:r>
            <m:t>0.50</m:t>
          </m:r>
          <m:r>
            <m:rPr>
              <m:sty m:val="p"/>
            </m:rPr>
            <m:t>.</m:t>
          </m:r>
        </m:oMath>
      </m:oMathPara>
    </w:p>
    <w:p>
      <w:pPr>
        <w:pStyle w:val="FirstParagraph"/>
      </w:pPr>
      <w:r>
        <w:t xml:space="preserve">Then the</w:t>
      </w:r>
      <w:r>
        <w:t xml:space="preserve"> </w:t>
      </w:r>
      <m:oMath>
        <m:r>
          <m:t>C</m:t>
        </m:r>
        <m:r>
          <m:t>I</m:t>
        </m:r>
        <m:r>
          <m:t>g</m:t>
        </m:r>
      </m:oMath>
      <w:r>
        <w:t xml:space="preserve">-based child-node objective is</w:t>
      </w:r>
    </w:p>
    <w:p>
      <w:pPr>
        <w:pStyle w:val="BodyText"/>
      </w:pPr>
      <m:oMathPara>
        <m:oMathParaPr>
          <m:jc m:val="center"/>
        </m:oMathParaPr>
        <m:oMath>
          <m:f>
            <m:fPr>
              <m:type m:val="bar"/>
            </m:fPr>
            <m:num>
              <m:r>
                <m:t>1</m:t>
              </m:r>
            </m:num>
            <m:den>
              <m:r>
                <m:t>2</m:t>
              </m:r>
            </m:den>
          </m:f>
          <m:r>
            <m:rPr>
              <m:sty m:val="p"/>
            </m:rPr>
            <m:t>(</m:t>
          </m:r>
          <m:r>
            <m:t>0.06</m:t>
          </m:r>
          <m:r>
            <m:rPr>
              <m:sty m:val="p"/>
            </m:rPr>
            <m:t>)</m:t>
          </m:r>
          <m:r>
            <m:rPr>
              <m:sty m:val="p"/>
            </m:rPr>
            <m:t>+</m:t>
          </m:r>
          <m:f>
            <m:fPr>
              <m:type m:val="bar"/>
            </m:fPr>
            <m:num>
              <m:r>
                <m:t>1</m:t>
              </m:r>
            </m:num>
            <m:den>
              <m:r>
                <m:t>2</m:t>
              </m:r>
            </m:den>
          </m:f>
          <m:r>
            <m:rPr>
              <m:sty m:val="p"/>
            </m:rPr>
            <m:t>(</m:t>
          </m:r>
          <m:r>
            <m:t>0.06</m:t>
          </m:r>
          <m:r>
            <m:rPr>
              <m:sty m:val="p"/>
            </m:rPr>
            <m:t>)</m:t>
          </m:r>
          <m:r>
            <m:rPr>
              <m:sty m:val="p"/>
            </m:rPr>
            <m:t>=</m:t>
          </m:r>
          <m:r>
            <m:t>0.06</m:t>
          </m:r>
          <m:r>
            <m:t> </m:t>
          </m:r>
          <m:r>
            <m:rPr>
              <m:nor/>
              <m:sty m:val="p"/>
            </m:rPr>
            <m:t>for </m:t>
          </m:r>
          <m:sSub>
            <m:e>
              <m:r>
                <m:t>s</m:t>
              </m:r>
            </m:e>
            <m:sub>
              <m:r>
                <m:t>1</m:t>
              </m:r>
            </m:sub>
          </m:sSub>
          <m:r>
            <m:rPr>
              <m:sty m:val="p"/>
            </m:rPr>
            <m:t>,</m:t>
          </m:r>
        </m:oMath>
      </m:oMathPara>
    </w:p>
    <w:p>
      <w:pPr>
        <w:pStyle w:val="FirstParagraph"/>
      </w:pPr>
      <w:r>
        <w:t xml:space="preserve">and</w:t>
      </w:r>
    </w:p>
    <w:p>
      <w:pPr>
        <w:pStyle w:val="BodyText"/>
      </w:pPr>
      <m:oMathPara>
        <m:oMathParaPr>
          <m:jc m:val="center"/>
        </m:oMathParaPr>
        <m:oMath>
          <m:f>
            <m:fPr>
              <m:type m:val="bar"/>
            </m:fPr>
            <m:num>
              <m:r>
                <m:t>1</m:t>
              </m:r>
            </m:num>
            <m:den>
              <m:r>
                <m:t>2</m:t>
              </m:r>
            </m:den>
          </m:f>
          <m:r>
            <m:rPr>
              <m:sty m:val="p"/>
            </m:rPr>
            <m:t>(</m:t>
          </m:r>
          <m:r>
            <m:t>0.08</m:t>
          </m:r>
          <m:r>
            <m:rPr>
              <m:sty m:val="p"/>
            </m:rPr>
            <m:t>)</m:t>
          </m:r>
          <m:r>
            <m:rPr>
              <m:sty m:val="p"/>
            </m:rPr>
            <m:t>+</m:t>
          </m:r>
          <m:f>
            <m:fPr>
              <m:type m:val="bar"/>
            </m:fPr>
            <m:num>
              <m:r>
                <m:t>1</m:t>
              </m:r>
            </m:num>
            <m:den>
              <m:r>
                <m:t>2</m:t>
              </m:r>
            </m:den>
          </m:f>
          <m:r>
            <m:rPr>
              <m:sty m:val="p"/>
            </m:rPr>
            <m:t>(</m:t>
          </m:r>
          <m:r>
            <m:t>0.08</m:t>
          </m:r>
          <m:r>
            <m:rPr>
              <m:sty m:val="p"/>
            </m:rPr>
            <m:t>)</m:t>
          </m:r>
          <m:r>
            <m:rPr>
              <m:sty m:val="p"/>
            </m:rPr>
            <m:t>=</m:t>
          </m:r>
          <m:r>
            <m:t>0.08</m:t>
          </m:r>
          <m:r>
            <m:t> </m:t>
          </m:r>
          <m:r>
            <m:rPr>
              <m:nor/>
              <m:sty m:val="p"/>
            </m:rPr>
            <m:t>for </m:t>
          </m:r>
          <m:sSub>
            <m:e>
              <m:r>
                <m:t>s</m:t>
              </m:r>
            </m:e>
            <m:sub>
              <m:r>
                <m:t>2</m:t>
              </m:r>
            </m:sub>
          </m:sSub>
          <m:r>
            <m:rPr>
              <m:sty m:val="p"/>
            </m:rPr>
            <m:t>.</m:t>
          </m:r>
        </m:oMath>
      </m:oMathPara>
    </w:p>
    <w:p>
      <w:pPr>
        <w:pStyle w:val="FirstParagraph"/>
      </w:pPr>
      <w:r>
        <w:t xml:space="preserve">So</w:t>
      </w:r>
      <w:r>
        <w:t xml:space="preserve"> </w:t>
      </w:r>
      <m:oMath>
        <m:r>
          <m:t>C</m:t>
        </m:r>
        <m:r>
          <m:t>I</m:t>
        </m:r>
        <m:r>
          <m:t>g</m:t>
        </m:r>
      </m:oMath>
      <w:r>
        <w:t xml:space="preserve"> </w:t>
      </w:r>
      <w:r>
        <w:t xml:space="preserve">prefers</w:t>
      </w:r>
      <w:r>
        <w:t xml:space="preserve"> </w:t>
      </w:r>
      <m:oMath>
        <m:sSub>
          <m:e>
            <m:r>
              <m:t>s</m:t>
            </m:r>
          </m:e>
          <m:sub>
            <m:r>
              <m:t>1</m:t>
            </m:r>
          </m:sub>
        </m:sSub>
      </m:oMath>
      <w:r>
        <w:t xml:space="preserve">.</w:t>
      </w:r>
    </w:p>
    <w:p>
      <w:pPr>
        <w:pStyle w:val="BodyText"/>
      </w:pPr>
      <w:r>
        <w:t xml:space="preserve">However, the</w:t>
      </w:r>
      <w:r>
        <w:t xml:space="preserve"> </w:t>
      </w:r>
      <m:oMath>
        <m:r>
          <m:t>C</m:t>
        </m:r>
        <m:r>
          <m:t>I</m:t>
        </m:r>
      </m:oMath>
      <w:r>
        <w:t xml:space="preserve">-based child-node objective is</w:t>
      </w:r>
    </w:p>
    <w:p>
      <w:pPr>
        <w:pStyle w:val="BodyText"/>
      </w:pPr>
      <m:oMathPara>
        <m:oMathParaPr>
          <m:jc m:val="center"/>
        </m:oMathParaPr>
        <m:oMath>
          <m:f>
            <m:fPr>
              <m:type m:val="bar"/>
            </m:fPr>
            <m:num>
              <m:r>
                <m:t>1</m:t>
              </m:r>
            </m:num>
            <m:den>
              <m:r>
                <m:t>2</m:t>
              </m:r>
            </m:den>
          </m:f>
          <m:d>
            <m:dPr>
              <m:begChr m:val="("/>
              <m:sepChr m:val=""/>
              <m:endChr m:val=")"/>
              <m:grow/>
            </m:dPr>
            <m:e>
              <m:f>
                <m:fPr>
                  <m:type m:val="bar"/>
                </m:fPr>
                <m:num>
                  <m:r>
                    <m:t>0.06</m:t>
                  </m:r>
                </m:num>
                <m:den>
                  <m:r>
                    <m:t>0.10</m:t>
                  </m:r>
                </m:den>
              </m:f>
            </m:e>
          </m:d>
          <m:r>
            <m:rPr>
              <m:sty m:val="p"/>
            </m:rPr>
            <m:t>+</m:t>
          </m:r>
          <m:f>
            <m:fPr>
              <m:type m:val="bar"/>
            </m:fPr>
            <m:num>
              <m:r>
                <m:t>1</m:t>
              </m:r>
            </m:num>
            <m:den>
              <m:r>
                <m:t>2</m:t>
              </m:r>
            </m:den>
          </m:f>
          <m:d>
            <m:dPr>
              <m:begChr m:val="("/>
              <m:sepChr m:val=""/>
              <m:endChr m:val=")"/>
              <m:grow/>
            </m:dPr>
            <m:e>
              <m:f>
                <m:fPr>
                  <m:type m:val="bar"/>
                </m:fPr>
                <m:num>
                  <m:r>
                    <m:t>0.06</m:t>
                  </m:r>
                </m:num>
                <m:den>
                  <m:r>
                    <m:t>0.10</m:t>
                  </m:r>
                </m:den>
              </m:f>
            </m:e>
          </m:d>
          <m:r>
            <m:rPr>
              <m:sty m:val="p"/>
            </m:rPr>
            <m:t>=</m:t>
          </m:r>
          <m:r>
            <m:t>0.60</m:t>
          </m:r>
          <m:r>
            <m:t> </m:t>
          </m:r>
          <m:r>
            <m:rPr>
              <m:nor/>
              <m:sty m:val="p"/>
            </m:rPr>
            <m:t>for </m:t>
          </m:r>
          <m:sSub>
            <m:e>
              <m:r>
                <m:t>s</m:t>
              </m:r>
            </m:e>
            <m:sub>
              <m:r>
                <m:t>1</m:t>
              </m:r>
            </m:sub>
          </m:sSub>
          <m:r>
            <m:rPr>
              <m:sty m:val="p"/>
            </m:rPr>
            <m:t>,</m:t>
          </m:r>
        </m:oMath>
      </m:oMathPara>
    </w:p>
    <w:p>
      <w:pPr>
        <w:pStyle w:val="FirstParagraph"/>
      </w:pPr>
      <w:r>
        <w:t xml:space="preserve">and</w:t>
      </w:r>
    </w:p>
    <w:p>
      <w:pPr>
        <w:pStyle w:val="BodyText"/>
      </w:pPr>
      <m:oMathPara>
        <m:oMathParaPr>
          <m:jc m:val="center"/>
        </m:oMathParaPr>
        <m:oMath>
          <m:f>
            <m:fPr>
              <m:type m:val="bar"/>
            </m:fPr>
            <m:num>
              <m:r>
                <m:t>1</m:t>
              </m:r>
            </m:num>
            <m:den>
              <m:r>
                <m:t>2</m:t>
              </m:r>
            </m:den>
          </m:f>
          <m:d>
            <m:dPr>
              <m:begChr m:val="("/>
              <m:sepChr m:val=""/>
              <m:endChr m:val=")"/>
              <m:grow/>
            </m:dPr>
            <m:e>
              <m:f>
                <m:fPr>
                  <m:type m:val="bar"/>
                </m:fPr>
                <m:num>
                  <m:r>
                    <m:t>0.08</m:t>
                  </m:r>
                </m:num>
                <m:den>
                  <m:r>
                    <m:t>0.50</m:t>
                  </m:r>
                </m:den>
              </m:f>
            </m:e>
          </m:d>
          <m:r>
            <m:rPr>
              <m:sty m:val="p"/>
            </m:rPr>
            <m:t>+</m:t>
          </m:r>
          <m:f>
            <m:fPr>
              <m:type m:val="bar"/>
            </m:fPr>
            <m:num>
              <m:r>
                <m:t>1</m:t>
              </m:r>
            </m:num>
            <m:den>
              <m:r>
                <m:t>2</m:t>
              </m:r>
            </m:den>
          </m:f>
          <m:d>
            <m:dPr>
              <m:begChr m:val="("/>
              <m:sepChr m:val=""/>
              <m:endChr m:val=")"/>
              <m:grow/>
            </m:dPr>
            <m:e>
              <m:f>
                <m:fPr>
                  <m:type m:val="bar"/>
                </m:fPr>
                <m:num>
                  <m:r>
                    <m:t>0.08</m:t>
                  </m:r>
                </m:num>
                <m:den>
                  <m:r>
                    <m:t>0.50</m:t>
                  </m:r>
                </m:den>
              </m:f>
            </m:e>
          </m:d>
          <m:r>
            <m:rPr>
              <m:sty m:val="p"/>
            </m:rPr>
            <m:t>=</m:t>
          </m:r>
          <m:r>
            <m:t>0.16</m:t>
          </m:r>
          <m:r>
            <m:t> </m:t>
          </m:r>
          <m:r>
            <m:rPr>
              <m:nor/>
              <m:sty m:val="p"/>
            </m:rPr>
            <m:t>for </m:t>
          </m:r>
          <m:sSub>
            <m:e>
              <m:r>
                <m:t>s</m:t>
              </m:r>
            </m:e>
            <m:sub>
              <m:r>
                <m:t>2</m:t>
              </m:r>
            </m:sub>
          </m:sSub>
          <m:r>
            <m:rPr>
              <m:sty m:val="p"/>
            </m:rPr>
            <m:t>.</m:t>
          </m:r>
        </m:oMath>
      </m:oMathPara>
    </w:p>
    <w:p>
      <w:pPr>
        <w:pStyle w:val="FirstParagraph"/>
      </w:pPr>
      <w:r>
        <w:t xml:space="preserve">So</w:t>
      </w:r>
      <w:r>
        <w:t xml:space="preserve"> </w:t>
      </w:r>
      <m:oMath>
        <m:r>
          <m:t>C</m:t>
        </m:r>
        <m:r>
          <m:t>I</m:t>
        </m:r>
      </m:oMath>
      <w:r>
        <w:t xml:space="preserve"> </w:t>
      </w:r>
      <w:r>
        <w:t xml:space="preserve">prefers</w:t>
      </w:r>
      <w:r>
        <w:t xml:space="preserve"> </w:t>
      </w:r>
      <m:oMath>
        <m:sSub>
          <m:e>
            <m:r>
              <m:t>s</m:t>
            </m:r>
          </m:e>
          <m:sub>
            <m:r>
              <m:t>2</m:t>
            </m:r>
          </m:sub>
        </m:sSub>
      </m:oMath>
      <w:r>
        <w:t xml:space="preserve">. This shows that relative and absolute inequality criteria can lead to different split choices.</w:t>
      </w:r>
    </w:p>
    <w:bookmarkEnd w:id="186"/>
    <w:bookmarkStart w:id="193" w:name="app-greedy-ci-tree-flow"/>
    <w:p>
      <w:pPr>
        <w:pStyle w:val="Heading2"/>
      </w:pPr>
      <w:r>
        <w:t xml:space="preserve">Greedy Concentration-Index Tree-Growing Procedure Flowchart</w:t>
      </w:r>
    </w:p>
    <w:bookmarkStart w:id="187" w:name="algorithmic-summary"/>
    <w:p>
      <w:pPr>
        <w:pStyle w:val="Heading4"/>
      </w:pPr>
      <w:r>
        <w:t xml:space="preserve">Algorithmic Summary</w:t>
      </w:r>
    </w:p>
    <w:p>
      <w:pPr>
        <w:pStyle w:val="FirstParagraph"/>
      </w:pPr>
      <w:r>
        <w:t xml:space="preserve">The complete procedure we have built up to this point is summarised as follows.</w:t>
      </w:r>
    </w:p>
    <w:p>
      <w:pPr>
        <w:pStyle w:val="BodyText"/>
      </w:pPr>
      <w:r>
        <w:t xml:space="preserve">Algorithm: Concentration-index-based recursive partitioning</w:t>
      </w:r>
    </w:p>
    <w:p>
      <w:pPr>
        <w:pStyle w:val="BodyText"/>
      </w:pPr>
      <w:r>
        <w:t xml:space="preserve">Input:</w:t>
      </w:r>
    </w:p>
    <w:p>
      <w:pPr>
        <w:pStyle w:val="Compact"/>
        <w:numPr>
          <w:ilvl w:val="0"/>
          <w:numId w:val="1002"/>
        </w:numPr>
      </w:pPr>
      <w:r>
        <w:t xml:space="preserve">health outcome</w:t>
      </w:r>
      <w:r>
        <w:t xml:space="preserve"> </w:t>
      </w:r>
      <m:oMath>
        <m:r>
          <m:t>Y</m:t>
        </m:r>
      </m:oMath>
    </w:p>
    <w:p>
      <w:pPr>
        <w:pStyle w:val="Compact"/>
        <w:numPr>
          <w:ilvl w:val="0"/>
          <w:numId w:val="1002"/>
        </w:numPr>
      </w:pPr>
      <w:r>
        <w:t xml:space="preserve">socioeconomic ranking variable</w:t>
      </w:r>
      <w:r>
        <w:t xml:space="preserve"> </w:t>
      </w:r>
      <m:oMath>
        <m:r>
          <m:t>S</m:t>
        </m:r>
      </m:oMath>
    </w:p>
    <w:p>
      <w:pPr>
        <w:pStyle w:val="Compact"/>
        <w:numPr>
          <w:ilvl w:val="0"/>
          <w:numId w:val="1002"/>
        </w:numPr>
      </w:pPr>
      <w:r>
        <w:t xml:space="preserve">candidate predictors</w:t>
      </w:r>
      <w:r>
        <w:t xml:space="preserve"> </w:t>
      </w:r>
      <m:oMath>
        <m:sSub>
          <m:e>
            <m:r>
              <m:t>X</m:t>
            </m:r>
          </m:e>
          <m:sub>
            <m:r>
              <m:t>1</m:t>
            </m:r>
          </m:sub>
        </m:sSub>
        <m:r>
          <m:rPr>
            <m:sty m:val="p"/>
          </m:rPr>
          <m:t>,</m:t>
        </m:r>
        <m:r>
          <m:rPr>
            <m:sty m:val="p"/>
          </m:rPr>
          <m:t>…</m:t>
        </m:r>
        <m:r>
          <m:rPr>
            <m:sty m:val="p"/>
          </m:rPr>
          <m:t>,</m:t>
        </m:r>
        <m:sSub>
          <m:e>
            <m:r>
              <m:t>X</m:t>
            </m:r>
          </m:e>
          <m:sub>
            <m:r>
              <m:t>p</m:t>
            </m:r>
          </m:sub>
        </m:sSub>
      </m:oMath>
    </w:p>
    <w:p>
      <w:pPr>
        <w:pStyle w:val="Compact"/>
        <w:numPr>
          <w:ilvl w:val="0"/>
          <w:numId w:val="1002"/>
        </w:numPr>
      </w:pPr>
      <w:r>
        <w:t xml:space="preserve">survey weights</w:t>
      </w:r>
      <w:r>
        <w:t xml:space="preserve"> </w:t>
      </w:r>
      <m:oMath>
        <m:sSub>
          <m:e>
            <m:r>
              <m:t>w</m:t>
            </m:r>
          </m:e>
          <m:sub>
            <m:r>
              <m:t>i</m:t>
            </m:r>
          </m:sub>
        </m:sSub>
      </m:oMath>
    </w:p>
    <w:p>
      <w:pPr>
        <w:pStyle w:val="FirstParagraph"/>
      </w:pPr>
      <w:r>
        <w:t xml:space="preserve">At node</w:t>
      </w:r>
      <w:r>
        <w:t xml:space="preserve"> </w:t>
      </w:r>
      <m:oMath>
        <m:r>
          <m:t>t</m:t>
        </m:r>
      </m:oMath>
      <w:r>
        <w:t xml:space="preserve">:</w:t>
      </w:r>
    </w:p>
    <w:p>
      <w:pPr>
        <w:pStyle w:val="Compact"/>
        <w:numPr>
          <w:ilvl w:val="0"/>
          <w:numId w:val="1003"/>
        </w:numPr>
      </w:pPr>
      <w:r>
        <w:t xml:space="preserve">Compute the weighted within-node socioeconomic ranks</w:t>
      </w:r>
      <w:r>
        <w:t xml:space="preserve"> </w:t>
      </w:r>
      <m:oMath>
        <m:sSub>
          <m:e>
            <m:r>
              <m:t>R</m:t>
            </m:r>
          </m:e>
          <m:sub>
            <m:r>
              <m:t>i</m:t>
            </m:r>
            <m:r>
              <m:rPr>
                <m:sty m:val="p"/>
              </m:rPr>
              <m:t>|</m:t>
            </m:r>
            <m:r>
              <m:t>t</m:t>
            </m:r>
          </m:sub>
        </m:sSub>
      </m:oMath>
      <w:r>
        <w:t xml:space="preserve"> </w:t>
      </w:r>
      <w:r>
        <w:t xml:space="preserve">from</w:t>
      </w:r>
      <w:r>
        <w:t xml:space="preserve"> </w:t>
      </w:r>
      <m:oMath>
        <m:r>
          <m:t>S</m:t>
        </m:r>
      </m:oMath>
      <w:r>
        <w:t xml:space="preserve">.</w:t>
      </w:r>
    </w:p>
    <w:p>
      <w:pPr>
        <w:pStyle w:val="Compact"/>
        <w:numPr>
          <w:ilvl w:val="0"/>
          <w:numId w:val="1003"/>
        </w:numPr>
      </w:pPr>
      <w:r>
        <w:t xml:space="preserve">Stop if maxdepth, the maximum permitted tree depth, or minsplit, the minimum weighted parent-node size, prevents further splitting.</w:t>
      </w:r>
    </w:p>
    <w:p>
      <w:pPr>
        <w:pStyle w:val="Compact"/>
        <w:numPr>
          <w:ilvl w:val="0"/>
          <w:numId w:val="1003"/>
        </w:numPr>
      </w:pPr>
      <w:r>
        <w:t xml:space="preserve">Optionally sample mtry candidate predictors, where mtry is the number of predictors searched at a node.</w:t>
      </w:r>
    </w:p>
    <w:p>
      <w:pPr>
        <w:pStyle w:val="Compact"/>
        <w:numPr>
          <w:ilvl w:val="0"/>
          <w:numId w:val="1003"/>
        </w:numPr>
      </w:pPr>
      <w:r>
        <w:t xml:space="preserve">For every candidate predictor</w:t>
      </w:r>
      <w:r>
        <w:t xml:space="preserve"> </w:t>
      </w:r>
      <m:oMath>
        <m:sSub>
          <m:e>
            <m:r>
              <m:t>X</m:t>
            </m:r>
          </m:e>
          <m:sub>
            <m:r>
              <m:t>j</m:t>
            </m:r>
          </m:sub>
        </m:sSub>
      </m:oMath>
      <w:r>
        <w:t xml:space="preserve">, generate binary split candidates:</w:t>
      </w:r>
    </w:p>
    <w:p>
      <w:pPr>
        <w:pStyle w:val="Compact"/>
        <w:numPr>
          <w:ilvl w:val="1"/>
          <w:numId w:val="1004"/>
        </w:numPr>
      </w:pPr>
      <w:r>
        <w:t xml:space="preserve">if</w:t>
      </w:r>
      <w:r>
        <w:t xml:space="preserve"> </w:t>
      </w:r>
      <m:oMath>
        <m:sSub>
          <m:e>
            <m:r>
              <m:t>X</m:t>
            </m:r>
          </m:e>
          <m:sub>
            <m:r>
              <m:t>j</m:t>
            </m:r>
          </m:sub>
        </m:sSub>
      </m:oMath>
      <w:r>
        <w:t xml:space="preserve"> </w:t>
      </w:r>
      <w:r>
        <w:t xml:space="preserve">is numeric, evaluate cutpoints</w:t>
      </w:r>
      <w:r>
        <w:t xml:space="preserve"> </w:t>
      </w:r>
      <m:oMath>
        <m:r>
          <m:t>s</m:t>
        </m:r>
      </m:oMath>
      <w:r>
        <w:t xml:space="preserve"> </w:t>
      </w:r>
      <w:r>
        <w:t xml:space="preserve">between distinct ordered values;</w:t>
      </w:r>
    </w:p>
    <w:p>
      <w:pPr>
        <w:pStyle w:val="Compact"/>
        <w:numPr>
          <w:ilvl w:val="1"/>
          <w:numId w:val="1004"/>
        </w:numPr>
      </w:pPr>
      <w:r>
        <w:t xml:space="preserve">if</w:t>
      </w:r>
      <w:r>
        <w:t xml:space="preserve"> </w:t>
      </w:r>
      <m:oMath>
        <m:sSub>
          <m:e>
            <m:r>
              <m:t>X</m:t>
            </m:r>
          </m:e>
          <m:sub>
            <m:r>
              <m:t>j</m:t>
            </m:r>
          </m:sub>
        </m:sSub>
      </m:oMath>
      <w:r>
        <w:t xml:space="preserve"> </w:t>
      </w:r>
      <w:r>
        <w:t xml:space="preserve">is categorical, evaluate admissible binary partitions of its levels, using ordered cumulative partitions where needed.</w:t>
      </w:r>
    </w:p>
    <w:p>
      <w:pPr>
        <w:pStyle w:val="Compact"/>
        <w:numPr>
          <w:ilvl w:val="0"/>
          <w:numId w:val="1003"/>
        </w:numPr>
      </w:pPr>
      <w:r>
        <w:t xml:space="preserve">Reject candidates that violate minbucket, the minimum weighted child-node size, or minprob, the minimum child-node share of the parent-node weight.</w:t>
      </w:r>
    </w:p>
    <w:p>
      <w:pPr>
        <w:pStyle w:val="Compact"/>
        <w:numPr>
          <w:ilvl w:val="0"/>
          <w:numId w:val="1003"/>
        </w:numPr>
      </w:pPr>
      <w:r>
        <w:t xml:space="preserve">For every remaining candidate pair</w:t>
      </w:r>
      <w:r>
        <w:t xml:space="preserve"> </w:t>
      </w:r>
      <m:oMath>
        <m:r>
          <m:rPr>
            <m:sty m:val="p"/>
          </m:rPr>
          <m:t>(</m:t>
        </m:r>
        <m:r>
          <m:t>j</m:t>
        </m:r>
        <m:r>
          <m:rPr>
            <m:sty m:val="p"/>
          </m:rPr>
          <m:t>,</m:t>
        </m:r>
        <m:r>
          <m:t>s</m:t>
        </m:r>
        <m:r>
          <m:rPr>
            <m:sty m:val="p"/>
          </m:rPr>
          <m:t>)</m:t>
        </m:r>
      </m:oMath>
      <w:r>
        <w:t xml:space="preserve">, compute the concentration-index gain</w:t>
      </w:r>
      <w:r>
        <w:t xml:space="preserve"> </w:t>
      </w:r>
      <m:oMath>
        <m:sSub>
          <m:e>
            <m:r>
              <m:t>G</m:t>
            </m:r>
          </m:e>
          <m:sub>
            <m:r>
              <m:t>m</m:t>
            </m:r>
          </m:sub>
        </m:sSub>
        <m:r>
          <m:rPr>
            <m:sty m:val="p"/>
          </m:rPr>
          <m:t>(</m:t>
        </m:r>
        <m:r>
          <m:t>j</m:t>
        </m:r>
        <m:r>
          <m:rPr>
            <m:sty m:val="p"/>
          </m:rPr>
          <m:t>,</m:t>
        </m:r>
        <m:r>
          <m:t>s</m:t>
        </m:r>
        <m:r>
          <m:rPr>
            <m:sty m:val="p"/>
          </m:rPr>
          <m:t>,</m:t>
        </m:r>
        <m:r>
          <m:t>t</m:t>
        </m:r>
        <m:r>
          <m:rPr>
            <m:sty m:val="p"/>
          </m:rPr>
          <m:t>)</m:t>
        </m:r>
      </m:oMath>
      <w:r>
        <w:t xml:space="preserve">.</w:t>
      </w:r>
    </w:p>
    <w:p>
      <w:pPr>
        <w:pStyle w:val="Compact"/>
        <w:numPr>
          <w:ilvl w:val="0"/>
          <w:numId w:val="1003"/>
        </w:numPr>
      </w:pPr>
      <w:r>
        <w:t xml:space="preserve">Choose the split</w:t>
      </w:r>
    </w:p>
    <w:p>
      <w:pPr>
        <w:pStyle w:val="FirstParagraph"/>
      </w:pPr>
      <m:oMathPara>
        <m:oMathParaPr>
          <m:jc m:val="center"/>
        </m:oMathParaPr>
        <m:oMath>
          <m:r>
            <m:rPr>
              <m:sty m:val="p"/>
            </m:rPr>
            <m:t>(</m:t>
          </m:r>
          <m:sSup>
            <m:e>
              <m:r>
                <m:t>j</m:t>
              </m:r>
            </m:e>
            <m:sup>
              <m:r>
                <m:rPr>
                  <m:sty m:val="p"/>
                </m:rPr>
                <m:t>*</m:t>
              </m:r>
            </m:sup>
          </m:sSup>
          <m:r>
            <m:rPr>
              <m:sty m:val="p"/>
            </m:rPr>
            <m:t>,</m:t>
          </m:r>
          <m:sSup>
            <m:e>
              <m:r>
                <m:t>s</m:t>
              </m:r>
            </m:e>
            <m:sup>
              <m:r>
                <m:rPr>
                  <m:sty m:val="p"/>
                </m:rPr>
                <m:t>*</m:t>
              </m:r>
            </m:sup>
          </m:sSup>
          <m:r>
            <m:rPr>
              <m:sty m:val="p"/>
            </m:rPr>
            <m:t>)</m:t>
          </m:r>
          <m:r>
            <m:rPr>
              <m:sty m:val="p"/>
            </m:rPr>
            <m:t>=</m:t>
          </m:r>
          <m:r>
            <m:rPr>
              <m:sty m:val="p"/>
            </m:rPr>
            <m:t>arg</m:t>
          </m:r>
          <m:limLow>
            <m:e>
              <m:r>
                <m:rPr>
                  <m:sty m:val="p"/>
                </m:rPr>
                <m:t>max</m:t>
              </m:r>
            </m:e>
            <m:lim>
              <m:r>
                <m:t>j</m:t>
              </m:r>
              <m:r>
                <m:rPr>
                  <m:sty m:val="p"/>
                </m:rPr>
                <m:t>,</m:t>
              </m:r>
              <m:r>
                <m:t>s</m:t>
              </m:r>
            </m:lim>
          </m:limLow>
          <m:sSub>
            <m:e>
              <m:r>
                <m:t>G</m:t>
              </m:r>
            </m:e>
            <m:sub>
              <m:r>
                <m:t>m</m:t>
              </m:r>
            </m:sub>
          </m:sSub>
          <m:r>
            <m:rPr>
              <m:sty m:val="p"/>
            </m:rPr>
            <m:t>(</m:t>
          </m:r>
          <m:r>
            <m:t>j</m:t>
          </m:r>
          <m:r>
            <m:rPr>
              <m:sty m:val="p"/>
            </m:rPr>
            <m:t>,</m:t>
          </m:r>
          <m:r>
            <m:t>s</m:t>
          </m:r>
          <m:r>
            <m:rPr>
              <m:sty m:val="p"/>
            </m:rPr>
            <m:t>,</m:t>
          </m:r>
          <m:r>
            <m:t>t</m:t>
          </m:r>
          <m:r>
            <m:rPr>
              <m:sty m:val="p"/>
            </m:rPr>
            <m:t>)</m:t>
          </m:r>
          <m:r>
            <m:rPr>
              <m:sty m:val="p"/>
            </m:rPr>
            <m:t>.</m:t>
          </m:r>
        </m:oMath>
      </m:oMathPara>
    </w:p>
    <w:p>
      <w:pPr>
        <w:pStyle w:val="Compact"/>
        <w:numPr>
          <w:ilvl w:val="0"/>
          <w:numId w:val="1005"/>
        </w:numPr>
      </w:pPr>
      <w:r>
        <w:t xml:space="preserve">Stop if the best gain is not finite, is less than or equal to min_gain, or, when min_relative_gain is positive, does not exceed the required share of the parent-node impurity.</w:t>
      </w:r>
    </w:p>
    <w:p>
      <w:pPr>
        <w:pStyle w:val="Compact"/>
        <w:numPr>
          <w:ilvl w:val="0"/>
          <w:numId w:val="1005"/>
        </w:numPr>
      </w:pPr>
      <w:r>
        <w:t xml:space="preserve">Otherwise split node</w:t>
      </w:r>
      <w:r>
        <w:t xml:space="preserve"> </w:t>
      </w:r>
      <m:oMath>
        <m:r>
          <m:t>t</m:t>
        </m:r>
      </m:oMath>
      <w:r>
        <w:t xml:space="preserve"> </w:t>
      </w:r>
      <w:r>
        <w:t xml:space="preserve">into child nodes</w:t>
      </w:r>
      <w:r>
        <w:t xml:space="preserve"> </w:t>
      </w:r>
      <m:oMath>
        <m:sSub>
          <m:e>
            <m:r>
              <m:t>t</m:t>
            </m:r>
          </m:e>
          <m:sub>
            <m:r>
              <m:t>L</m:t>
            </m:r>
          </m:sub>
        </m:sSub>
      </m:oMath>
      <w:r>
        <w:t xml:space="preserve"> </w:t>
      </w:r>
      <w:r>
        <w:t xml:space="preserve">and</w:t>
      </w:r>
      <w:r>
        <w:t xml:space="preserve"> </w:t>
      </w:r>
      <m:oMath>
        <m:sSub>
          <m:e>
            <m:r>
              <m:t>t</m:t>
            </m:r>
          </m:e>
          <m:sub>
            <m:r>
              <m:t>R</m:t>
            </m:r>
          </m:sub>
        </m:sSub>
      </m:oMath>
      <w:r>
        <w:t xml:space="preserve">, then repeat the procedure recursively.</w:t>
      </w:r>
    </w:p>
    <w:p>
      <w:pPr>
        <w:pStyle w:val="FirstParagraph"/>
      </w:pPr>
      <w:r>
        <w:t xml:space="preserve">The same recursive logic is shown as a flowchart in</w:t>
      </w:r>
      <w:r>
        <w:t xml:space="preserve"> </w:t>
      </w:r>
      <w:hyperlink w:anchor="fig-greedy-ci-tree-flow">
        <w:r>
          <w:rPr>
            <w:rStyle w:val="Hyperlink"/>
          </w:rPr>
          <w:t xml:space="preserve">Figure 14</w:t>
        </w:r>
      </w:hyperlink>
      <w:r>
        <w:t xml:space="preserve">. The procedures are implemented in the ineqTrees package</w:t>
      </w:r>
      <w:r>
        <w:t xml:space="preserve"> </w:t>
      </w:r>
      <w:r>
        <w:t xml:space="preserve">(</w:t>
      </w:r>
      <w:hyperlink w:anchor="ref-ineqTrees">
        <w:r>
          <w:rPr>
            <w:rStyle w:val="Hyperlink"/>
          </w:rPr>
          <w:t xml:space="preserve">Mburu, 2026</w:t>
        </w:r>
      </w:hyperlink>
      <w:r>
        <w:t xml:space="preserve">)</w:t>
      </w:r>
      <w:r>
        <w:t xml:space="preserve">. The fitted tree is stored using the partykit tree representation for plotting and traversal</w:t>
      </w:r>
      <w:r>
        <w:t xml:space="preserve"> </w:t>
      </w:r>
      <w:r>
        <w:t xml:space="preserve">(</w:t>
      </w:r>
      <w:hyperlink w:anchor="ref-hothorn2015partykit">
        <w:r>
          <w:rPr>
            <w:rStyle w:val="Hyperlink"/>
          </w:rPr>
          <w:t xml:space="preserve">Hothorn and Zeileis, 2015</w:t>
        </w:r>
      </w:hyperlink>
      <w:r>
        <w:t xml:space="preserve">)</w:t>
      </w:r>
      <w:r>
        <w:t xml:space="preserve">.</w:t>
      </w:r>
    </w:p>
    <w:bookmarkEnd w:id="187"/>
    <w:bookmarkStart w:id="192" w:name="X73f23afa99a547d0d371f7cb7cac0900c5fb92e"/>
    <w:p>
      <w:pPr>
        <w:pStyle w:val="Heading3"/>
      </w:pPr>
      <w:r>
        <w:t xml:space="preserve">Flowchart of the Greedy Concentration-Index Tree-Growing Procedure</w:t>
      </w:r>
    </w:p>
    <w:tbl>
      <w:tblPr>
        <w:tblStyle w:val="Table"/>
        <w:tblW w:type="pct" w:w="5000"/>
        <w:tblLayout w:type="fixed"/>
        <w:tblLook w:firstRow="0" w:lastRow="0" w:firstColumn="0" w:lastColumn="0" w:noHBand="0" w:noVBand="0" w:val="0000"/>
      </w:tblPr>
      <w:tblGrid>
        <w:gridCol w:w="7920"/>
      </w:tblGrid>
      <w:tr>
        <w:tc>
          <w:tcPr/>
          <w:bookmarkStart w:id="191" w:name="fig-greedy-ci-tree-flow"/>
          <w:p>
            <w:pPr>
              <w:jc w:val="center"/>
            </w:pPr>
            <w:r>
              <w:drawing>
                <wp:inline>
                  <wp:extent cx="4572000" cy="6400800"/>
                  <wp:effectExtent b="0" l="0" r="0" t="0"/>
                  <wp:docPr descr="" title="" id="189" name="Picture"/>
                  <a:graphic>
                    <a:graphicData uri="http://schemas.openxmlformats.org/drawingml/2006/picture">
                      <pic:pic>
                        <pic:nvPicPr>
                          <pic:cNvPr descr="MSE_Thesis_Decomposition_of_CI_Trees_MM_files\figure-docx\dot-figure-1.png" id="190" name="Picture"/>
                          <pic:cNvPicPr>
                            <a:picLocks noChangeArrowheads="1" noChangeAspect="1"/>
                          </pic:cNvPicPr>
                        </pic:nvPicPr>
                        <pic:blipFill>
                          <a:blip r:embed="rId188"/>
                          <a:stretch>
                            <a:fillRect/>
                          </a:stretch>
                        </pic:blipFill>
                        <pic:spPr bwMode="auto">
                          <a:xfrm>
                            <a:off x="0" y="0"/>
                            <a:ext cx="4572000" cy="6400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Greedy concentration-index tree-growing procedure.</w:t>
            </w:r>
          </w:p>
          <w:bookmarkEnd w:id="191"/>
        </w:tc>
      </w:tr>
    </w:tbl>
    <w:bookmarkEnd w:id="192"/>
    <w:bookmarkEnd w:id="193"/>
    <w:bookmarkStart w:id="282" w:name="results-1"/>
    <w:p>
      <w:pPr>
        <w:pStyle w:val="Heading2"/>
      </w:pPr>
      <w:r>
        <w:t xml:space="preserve">Results</w:t>
      </w:r>
    </w:p>
    <w:bookmarkStart w:id="199" w:name="appendix-r1-exploratory-data-outputs"/>
    <w:p>
      <w:pPr>
        <w:pStyle w:val="Heading3"/>
      </w:pPr>
      <w:r>
        <w:t xml:space="preserve">Appendix R1: Exploratory Data Outputs</w:t>
      </w:r>
    </w:p>
    <w:tbl>
      <w:tblPr>
        <w:tblStyle w:val="Table"/>
        <w:tblW w:type="pct" w:w="5000"/>
        <w:tblLayout w:type="fixed"/>
        <w:tblLook w:firstRow="0" w:lastRow="0" w:firstColumn="0" w:lastColumn="0" w:noHBand="0" w:noVBand="0" w:val="0000"/>
      </w:tblPr>
      <w:tblGrid>
        <w:gridCol w:w="7920"/>
      </w:tblGrid>
      <w:tr>
        <w:tc>
          <w:tcPr/>
          <w:bookmarkStart w:id="194" w:name="tbl-appendix-weighted-baseline"/>
          <w:p>
            <w:pPr>
              <w:jc w:val="center"/>
            </w:pPr>
            <w:pPr>
              <w:jc w:val="left"/>
              <w:spacing w:before="200"/>
              <w:pStyle w:val="ImageCaption"/>
            </w:pPr>
            <w:r>
              <w:t xml:space="preserve">Table 2: Weighted distribution of analysis variables by under-five mortality status.</w:t>
            </w:r>
          </w:p>
          <w:p>
            <w:pPr>
              <w:pStyle w:val="Compact"/>
              <w:jc w:val="center"/>
            </w:pPr>
            <w:r>
              <w:t xml:space="preserve">Weighted distribution of analysis variables by under-five mortality status</w:t>
            </w:r>
          </w:p>
          <w:tbl>
            <w:tblPr>
              <w:tblStyle w:val="Table"/>
              <w:tblW w:type="pct" w:w="5000"/>
              <w:tblLayout w:type="fixed"/>
              <w:tblLook w:firstRow="1" w:lastRow="0" w:firstColumn="0" w:lastColumn="0" w:noHBand="0" w:noVBand="0" w:val="0020"/>
              <w:tblCaption w:val="Weighted distribution of analysis variables by under-five mortality status"/>
            </w:tblPr>
            <w:tblGrid>
              <w:gridCol w:w="2992"/>
              <w:gridCol w:w="1672"/>
              <w:gridCol w:w="1584"/>
              <w:gridCol w:w="1672"/>
            </w:tblGrid>
            <w:tr>
              <w:trPr>
                <w:tblHeader w:val="on"/>
              </w:trPr>
              <w:tc>
                <w:tcPr/>
                <w:p>
                  <w:pPr>
                    <w:pStyle w:val="Compact"/>
                    <w:jc w:val="left"/>
                    <w:jc w:val="center"/>
                  </w:pPr>
                  <w:r>
                    <w:t xml:space="preserve">Variable</w:t>
                  </w:r>
                </w:p>
              </w:tc>
              <w:tc>
                <w:tcPr/>
                <w:p>
                  <w:pPr>
                    <w:pStyle w:val="Compact"/>
                    <w:jc w:val="right"/>
                    <w:jc w:val="center"/>
                  </w:pPr>
                  <w:r>
                    <w:t xml:space="preserve">Alive at age 5</w:t>
                  </w:r>
                </w:p>
              </w:tc>
              <w:tc>
                <w:tcPr/>
                <w:p>
                  <w:pPr>
                    <w:pStyle w:val="Compact"/>
                    <w:jc w:val="right"/>
                    <w:jc w:val="center"/>
                  </w:pPr>
                  <w:r>
                    <w:t xml:space="preserve">Died before age 5</w:t>
                  </w:r>
                </w:p>
              </w:tc>
              <w:tc>
                <w:tcPr/>
                <w:p>
                  <w:pPr>
                    <w:pStyle w:val="Compact"/>
                    <w:jc w:val="right"/>
                    <w:jc w:val="center"/>
                  </w:pPr>
                  <w:r>
                    <w:t xml:space="preserve">Overall</w:t>
                  </w:r>
                </w:p>
              </w:tc>
            </w:tr>
            <w:tr>
              <w:tc>
                <w:tcPr/>
                <w:p>
                  <w:pPr>
                    <w:pStyle w:val="Compact"/>
                  </w:pPr>
                </w:p>
              </w:tc>
              <w:tc>
                <w:tcPr/>
                <w:p>
                  <w:pPr>
                    <w:pStyle w:val="Compact"/>
                    <w:jc w:val="right"/>
                    <w:jc w:val="center"/>
                  </w:pPr>
                  <w:r>
                    <w:t xml:space="preserve">(weighted N=7,464)</w:t>
                  </w:r>
                </w:p>
              </w:tc>
              <w:tc>
                <w:tcPr/>
                <w:p>
                  <w:pPr>
                    <w:pStyle w:val="Compact"/>
                    <w:jc w:val="right"/>
                    <w:jc w:val="center"/>
                  </w:pPr>
                  <w:r>
                    <w:t xml:space="preserve">(weighted N=859)</w:t>
                  </w:r>
                </w:p>
              </w:tc>
              <w:tc>
                <w:tcPr/>
                <w:p>
                  <w:pPr>
                    <w:pStyle w:val="Compact"/>
                    <w:jc w:val="right"/>
                    <w:jc w:val="center"/>
                  </w:pPr>
                  <w:r>
                    <w:t xml:space="preserve">(weighted N=8,323)</w:t>
                  </w:r>
                </w:p>
              </w:tc>
            </w:tr>
            <w:tr>
              <w:tc>
                <w:tcPr/>
                <w:p>
                  <w:pPr>
                    <w:pStyle w:val="Compact"/>
                    <w:jc w:val="left"/>
                    <w:jc w:val="center"/>
                  </w:pPr>
                  <w:r>
                    <w:t xml:space="preserve">Household wealth</w:t>
                  </w:r>
                </w:p>
              </w:tc>
              <w:tc>
                <w:tcPr/>
                <w:p>
                  <w:pPr>
                    <w:pStyle w:val="Compact"/>
                  </w:pPr>
                </w:p>
              </w:tc>
              <w:tc>
                <w:tcPr/>
                <w:p>
                  <w:pPr>
                    <w:pStyle w:val="Compact"/>
                  </w:pPr>
                </w:p>
              </w:tc>
              <w:tc>
                <w:tcPr/>
                <w:p>
                  <w:pPr>
                    <w:pStyle w:val="Compact"/>
                  </w:pPr>
                </w:p>
              </w:tc>
            </w:tr>
            <w:tr>
              <w:tc>
                <w:tcPr/>
                <w:p>
                  <w:pPr>
                    <w:pStyle w:val="Compact"/>
                    <w:jc w:val="left"/>
                    <w:jc w:val="center"/>
                  </w:pPr>
                  <w:r>
                    <w:t xml:space="preserve">High household wealth</w:t>
                  </w:r>
                </w:p>
              </w:tc>
              <w:tc>
                <w:tcPr/>
                <w:p>
                  <w:pPr>
                    <w:pStyle w:val="Compact"/>
                    <w:jc w:val="right"/>
                    <w:jc w:val="center"/>
                  </w:pPr>
                  <w:r>
                    <w:t xml:space="preserve">4,266.9 (57.2%)</w:t>
                  </w:r>
                </w:p>
              </w:tc>
              <w:tc>
                <w:tcPr/>
                <w:p>
                  <w:pPr>
                    <w:pStyle w:val="Compact"/>
                    <w:jc w:val="right"/>
                    <w:jc w:val="center"/>
                  </w:pPr>
                  <w:r>
                    <w:t xml:space="preserve">418.6 (48.7%)</w:t>
                  </w:r>
                </w:p>
              </w:tc>
              <w:tc>
                <w:tcPr/>
                <w:p>
                  <w:pPr>
                    <w:pStyle w:val="Compact"/>
                    <w:jc w:val="right"/>
                    <w:jc w:val="center"/>
                  </w:pPr>
                  <w:r>
                    <w:t xml:space="preserve">4,685.5 (56.3%)</w:t>
                  </w:r>
                </w:p>
              </w:tc>
            </w:tr>
            <w:tr>
              <w:tc>
                <w:tcPr/>
                <w:p>
                  <w:pPr>
                    <w:pStyle w:val="Compact"/>
                    <w:jc w:val="left"/>
                    <w:jc w:val="center"/>
                  </w:pPr>
                  <w:r>
                    <w:t xml:space="preserve">Low household wealth</w:t>
                  </w:r>
                </w:p>
              </w:tc>
              <w:tc>
                <w:tcPr/>
                <w:p>
                  <w:pPr>
                    <w:pStyle w:val="Compact"/>
                    <w:jc w:val="right"/>
                    <w:jc w:val="center"/>
                  </w:pPr>
                  <w:r>
                    <w:t xml:space="preserve">3,197.4 (42.8%)</w:t>
                  </w:r>
                </w:p>
              </w:tc>
              <w:tc>
                <w:tcPr/>
                <w:p>
                  <w:pPr>
                    <w:pStyle w:val="Compact"/>
                    <w:jc w:val="right"/>
                    <w:jc w:val="center"/>
                  </w:pPr>
                  <w:r>
                    <w:t xml:space="preserve">440.2 (51.3%)</w:t>
                  </w:r>
                </w:p>
              </w:tc>
              <w:tc>
                <w:tcPr/>
                <w:p>
                  <w:pPr>
                    <w:pStyle w:val="Compact"/>
                    <w:jc w:val="right"/>
                    <w:jc w:val="center"/>
                  </w:pPr>
                  <w:r>
                    <w:t xml:space="preserve">3,637.6 (43.7%)</w:t>
                  </w:r>
                </w:p>
              </w:tc>
            </w:tr>
            <w:tr>
              <w:tc>
                <w:tcPr/>
                <w:p>
                  <w:pPr>
                    <w:pStyle w:val="Compact"/>
                    <w:jc w:val="left"/>
                    <w:jc w:val="center"/>
                  </w:pPr>
                  <w:r>
                    <w:t xml:space="preserve">Skilled.birth.attendance</w:t>
                  </w:r>
                </w:p>
              </w:tc>
              <w:tc>
                <w:tcPr/>
                <w:p>
                  <w:pPr>
                    <w:pStyle w:val="Compact"/>
                  </w:pPr>
                </w:p>
              </w:tc>
              <w:tc>
                <w:tcPr/>
                <w:p>
                  <w:pPr>
                    <w:pStyle w:val="Compact"/>
                  </w:pPr>
                </w:p>
              </w:tc>
              <w:tc>
                <w:tcPr/>
                <w:p>
                  <w:pPr>
                    <w:pStyle w:val="Compact"/>
                  </w:pPr>
                </w:p>
              </w:tc>
            </w:tr>
            <w:tr>
              <w:tc>
                <w:tcPr/>
                <w:p>
                  <w:pPr>
                    <w:pStyle w:val="Compact"/>
                    <w:jc w:val="left"/>
                    <w:jc w:val="center"/>
                  </w:pPr>
                  <w:r>
                    <w:t xml:space="preserve">Skilled.birth.attendance.1</w:t>
                  </w:r>
                </w:p>
              </w:tc>
              <w:tc>
                <w:tcPr/>
                <w:p>
                  <w:pPr>
                    <w:pStyle w:val="Compact"/>
                    <w:jc w:val="right"/>
                    <w:jc w:val="center"/>
                  </w:pPr>
                  <w:r>
                    <w:t xml:space="preserve">3,225.3 (43.2%)</w:t>
                  </w:r>
                </w:p>
              </w:tc>
              <w:tc>
                <w:tcPr/>
                <w:p>
                  <w:pPr>
                    <w:pStyle w:val="Compact"/>
                    <w:jc w:val="right"/>
                    <w:jc w:val="center"/>
                  </w:pPr>
                  <w:r>
                    <w:t xml:space="preserve">295.1 (34.4%)</w:t>
                  </w:r>
                </w:p>
              </w:tc>
              <w:tc>
                <w:tcPr/>
                <w:p>
                  <w:pPr>
                    <w:pStyle w:val="Compact"/>
                    <w:jc w:val="right"/>
                    <w:jc w:val="center"/>
                  </w:pPr>
                  <w:r>
                    <w:t xml:space="preserve">3,520.5 (42.3%)</w:t>
                  </w:r>
                </w:p>
              </w:tc>
            </w:tr>
            <w:tr>
              <w:tc>
                <w:tcPr/>
                <w:p>
                  <w:pPr>
                    <w:pStyle w:val="Compact"/>
                    <w:jc w:val="left"/>
                    <w:jc w:val="center"/>
                  </w:pPr>
                  <w:r>
                    <w:t xml:space="preserve">No.skilled.birth.attendance</w:t>
                  </w:r>
                </w:p>
              </w:tc>
              <w:tc>
                <w:tcPr/>
                <w:p>
                  <w:pPr>
                    <w:pStyle w:val="Compact"/>
                    <w:jc w:val="right"/>
                    <w:jc w:val="center"/>
                  </w:pPr>
                  <w:r>
                    <w:t xml:space="preserve">4,239 (56.8%)</w:t>
                  </w:r>
                </w:p>
              </w:tc>
              <w:tc>
                <w:tcPr/>
                <w:p>
                  <w:pPr>
                    <w:pStyle w:val="Compact"/>
                    <w:jc w:val="right"/>
                    <w:jc w:val="center"/>
                  </w:pPr>
                  <w:r>
                    <w:t xml:space="preserve">563.6 (65.6%)</w:t>
                  </w:r>
                </w:p>
              </w:tc>
              <w:tc>
                <w:tcPr/>
                <w:p>
                  <w:pPr>
                    <w:pStyle w:val="Compact"/>
                    <w:jc w:val="right"/>
                    <w:jc w:val="center"/>
                  </w:pPr>
                  <w:r>
                    <w:t xml:space="preserve">4,802.6 (57.7%)</w:t>
                  </w:r>
                </w:p>
              </w:tc>
            </w:tr>
            <w:tr>
              <w:tc>
                <w:tcPr/>
                <w:p>
                  <w:pPr>
                    <w:pStyle w:val="Compact"/>
                    <w:jc w:val="left"/>
                    <w:jc w:val="center"/>
                  </w:pPr>
                  <w:r>
                    <w:t xml:space="preserve">Sex of the child</w:t>
                  </w:r>
                </w:p>
              </w:tc>
              <w:tc>
                <w:tcPr/>
                <w:p>
                  <w:pPr>
                    <w:pStyle w:val="Compact"/>
                  </w:pPr>
                </w:p>
              </w:tc>
              <w:tc>
                <w:tcPr/>
                <w:p>
                  <w:pPr>
                    <w:pStyle w:val="Compact"/>
                  </w:pPr>
                </w:p>
              </w:tc>
              <w:tc>
                <w:tcPr/>
                <w:p>
                  <w:pPr>
                    <w:pStyle w:val="Compact"/>
                  </w:pPr>
                </w:p>
              </w:tc>
            </w:tr>
            <w:tr>
              <w:tc>
                <w:tcPr/>
                <w:p>
                  <w:pPr>
                    <w:pStyle w:val="Compact"/>
                    <w:jc w:val="left"/>
                    <w:jc w:val="center"/>
                  </w:pPr>
                  <w:r>
                    <w:t xml:space="preserve">Female</w:t>
                  </w:r>
                </w:p>
              </w:tc>
              <w:tc>
                <w:tcPr/>
                <w:p>
                  <w:pPr>
                    <w:pStyle w:val="Compact"/>
                    <w:jc w:val="right"/>
                    <w:jc w:val="center"/>
                  </w:pPr>
                  <w:r>
                    <w:t xml:space="preserve">3,828.8 (51.3%)</w:t>
                  </w:r>
                </w:p>
              </w:tc>
              <w:tc>
                <w:tcPr/>
                <w:p>
                  <w:pPr>
                    <w:pStyle w:val="Compact"/>
                    <w:jc w:val="right"/>
                    <w:jc w:val="center"/>
                  </w:pPr>
                  <w:r>
                    <w:t xml:space="preserve">390.4 (45.5%)</w:t>
                  </w:r>
                </w:p>
              </w:tc>
              <w:tc>
                <w:tcPr/>
                <w:p>
                  <w:pPr>
                    <w:pStyle w:val="Compact"/>
                    <w:jc w:val="right"/>
                    <w:jc w:val="center"/>
                  </w:pPr>
                  <w:r>
                    <w:t xml:space="preserve">4,219.2 (50.7%)</w:t>
                  </w:r>
                </w:p>
              </w:tc>
            </w:tr>
            <w:tr>
              <w:tc>
                <w:tcPr/>
                <w:p>
                  <w:pPr>
                    <w:pStyle w:val="Compact"/>
                    <w:jc w:val="left"/>
                    <w:jc w:val="center"/>
                  </w:pPr>
                  <w:r>
                    <w:t xml:space="preserve">Male</w:t>
                  </w:r>
                </w:p>
              </w:tc>
              <w:tc>
                <w:tcPr/>
                <w:p>
                  <w:pPr>
                    <w:pStyle w:val="Compact"/>
                    <w:jc w:val="right"/>
                    <w:jc w:val="center"/>
                  </w:pPr>
                  <w:r>
                    <w:t xml:space="preserve">3,635.5 (48.7%)</w:t>
                  </w:r>
                </w:p>
              </w:tc>
              <w:tc>
                <w:tcPr/>
                <w:p>
                  <w:pPr>
                    <w:pStyle w:val="Compact"/>
                    <w:jc w:val="right"/>
                    <w:jc w:val="center"/>
                  </w:pPr>
                  <w:r>
                    <w:t xml:space="preserve">468.4 (54.5%)</w:t>
                  </w:r>
                </w:p>
              </w:tc>
              <w:tc>
                <w:tcPr/>
                <w:p>
                  <w:pPr>
                    <w:pStyle w:val="Compact"/>
                    <w:jc w:val="right"/>
                    <w:jc w:val="center"/>
                  </w:pPr>
                  <w:r>
                    <w:t xml:space="preserve">4,103.9 (49.3%)</w:t>
                  </w:r>
                </w:p>
              </w:tc>
            </w:tr>
            <w:tr>
              <w:tc>
                <w:tcPr/>
                <w:p>
                  <w:pPr>
                    <w:pStyle w:val="Compact"/>
                    <w:jc w:val="left"/>
                    <w:jc w:val="center"/>
                  </w:pPr>
                  <w:r>
                    <w:t xml:space="preserve">Birth order and interval</w:t>
                  </w:r>
                </w:p>
              </w:tc>
              <w:tc>
                <w:tcPr/>
                <w:p>
                  <w:pPr>
                    <w:pStyle w:val="Compact"/>
                  </w:pPr>
                </w:p>
              </w:tc>
              <w:tc>
                <w:tcPr/>
                <w:p>
                  <w:pPr>
                    <w:pStyle w:val="Compact"/>
                  </w:pPr>
                </w:p>
              </w:tc>
              <w:tc>
                <w:tcPr/>
                <w:p>
                  <w:pPr>
                    <w:pStyle w:val="Compact"/>
                  </w:pPr>
                </w:p>
              </w:tc>
            </w:tr>
            <w:tr>
              <w:tc>
                <w:tcPr/>
                <w:p>
                  <w:pPr>
                    <w:pStyle w:val="Compact"/>
                    <w:jc w:val="left"/>
                    <w:jc w:val="center"/>
                  </w:pPr>
                  <w:r>
                    <w:t xml:space="preserve">First birth</w:t>
                  </w:r>
                </w:p>
              </w:tc>
              <w:tc>
                <w:tcPr/>
                <w:p>
                  <w:pPr>
                    <w:pStyle w:val="Compact"/>
                    <w:jc w:val="right"/>
                    <w:jc w:val="center"/>
                  </w:pPr>
                  <w:r>
                    <w:t xml:space="preserve">1,396.8 (18.7%)</w:t>
                  </w:r>
                </w:p>
              </w:tc>
              <w:tc>
                <w:tcPr/>
                <w:p>
                  <w:pPr>
                    <w:pStyle w:val="Compact"/>
                    <w:jc w:val="right"/>
                    <w:jc w:val="center"/>
                  </w:pPr>
                  <w:r>
                    <w:t xml:space="preserve">190.9 (22.2%)</w:t>
                  </w:r>
                </w:p>
              </w:tc>
              <w:tc>
                <w:tcPr/>
                <w:p>
                  <w:pPr>
                    <w:pStyle w:val="Compact"/>
                    <w:jc w:val="right"/>
                    <w:jc w:val="center"/>
                  </w:pPr>
                  <w:r>
                    <w:t xml:space="preserve">1,587.7 (19.1%)</w:t>
                  </w:r>
                </w:p>
              </w:tc>
            </w:tr>
            <w:tr>
              <w:tc>
                <w:tcPr/>
                <w:p>
                  <w:pPr>
                    <w:pStyle w:val="Compact"/>
                    <w:jc w:val="left"/>
                    <w:jc w:val="center"/>
                  </w:pPr>
                  <w:r>
                    <w:t xml:space="preserve">2-4 short interval</w:t>
                  </w:r>
                </w:p>
              </w:tc>
              <w:tc>
                <w:tcPr/>
                <w:p>
                  <w:pPr>
                    <w:pStyle w:val="Compact"/>
                    <w:jc w:val="right"/>
                    <w:jc w:val="center"/>
                  </w:pPr>
                  <w:r>
                    <w:t xml:space="preserve">774.3 (10.4%)</w:t>
                  </w:r>
                </w:p>
              </w:tc>
              <w:tc>
                <w:tcPr/>
                <w:p>
                  <w:pPr>
                    <w:pStyle w:val="Compact"/>
                    <w:jc w:val="right"/>
                    <w:jc w:val="center"/>
                  </w:pPr>
                  <w:r>
                    <w:t xml:space="preserve">110.1 (12.8%)</w:t>
                  </w:r>
                </w:p>
              </w:tc>
              <w:tc>
                <w:tcPr/>
                <w:p>
                  <w:pPr>
                    <w:pStyle w:val="Compact"/>
                    <w:jc w:val="right"/>
                    <w:jc w:val="center"/>
                  </w:pPr>
                  <w:r>
                    <w:t xml:space="preserve">884.4 (10.6%)</w:t>
                  </w:r>
                </w:p>
              </w:tc>
            </w:tr>
            <w:tr>
              <w:tc>
                <w:tcPr/>
                <w:p>
                  <w:pPr>
                    <w:pStyle w:val="Compact"/>
                    <w:jc w:val="left"/>
                    <w:jc w:val="center"/>
                  </w:pPr>
                  <w:r>
                    <w:t xml:space="preserve">2-4 long interval</w:t>
                  </w:r>
                </w:p>
              </w:tc>
              <w:tc>
                <w:tcPr/>
                <w:p>
                  <w:pPr>
                    <w:pStyle w:val="Compact"/>
                    <w:jc w:val="right"/>
                    <w:jc w:val="center"/>
                  </w:pPr>
                  <w:r>
                    <w:t xml:space="preserve">2,603.8 (34.9%)</w:t>
                  </w:r>
                </w:p>
              </w:tc>
              <w:tc>
                <w:tcPr/>
                <w:p>
                  <w:pPr>
                    <w:pStyle w:val="Compact"/>
                    <w:jc w:val="right"/>
                    <w:jc w:val="center"/>
                  </w:pPr>
                  <w:r>
                    <w:t xml:space="preserve">216.6 (25.2%)</w:t>
                  </w:r>
                </w:p>
              </w:tc>
              <w:tc>
                <w:tcPr/>
                <w:p>
                  <w:pPr>
                    <w:pStyle w:val="Compact"/>
                    <w:jc w:val="right"/>
                    <w:jc w:val="center"/>
                  </w:pPr>
                  <w:r>
                    <w:t xml:space="preserve">2,820.3 (33.9%)</w:t>
                  </w:r>
                </w:p>
              </w:tc>
            </w:tr>
            <w:tr>
              <w:tc>
                <w:tcPr/>
                <w:p>
                  <w:pPr>
                    <w:pStyle w:val="Compact"/>
                    <w:jc w:val="left"/>
                    <w:jc w:val="center"/>
                  </w:pPr>
                  <w:r>
                    <w:t xml:space="preserve">5+ short interval</w:t>
                  </w:r>
                </w:p>
              </w:tc>
              <w:tc>
                <w:tcPr/>
                <w:p>
                  <w:pPr>
                    <w:pStyle w:val="Compact"/>
                    <w:jc w:val="right"/>
                    <w:jc w:val="center"/>
                  </w:pPr>
                  <w:r>
                    <w:t xml:space="preserve">696.6 (9.3%)</w:t>
                  </w:r>
                </w:p>
              </w:tc>
              <w:tc>
                <w:tcPr/>
                <w:p>
                  <w:pPr>
                    <w:pStyle w:val="Compact"/>
                    <w:jc w:val="right"/>
                    <w:jc w:val="center"/>
                  </w:pPr>
                  <w:r>
                    <w:t xml:space="preserve">150.6 (17.5%)</w:t>
                  </w:r>
                </w:p>
              </w:tc>
              <w:tc>
                <w:tcPr/>
                <w:p>
                  <w:pPr>
                    <w:pStyle w:val="Compact"/>
                    <w:jc w:val="right"/>
                    <w:jc w:val="center"/>
                  </w:pPr>
                  <w:r>
                    <w:t xml:space="preserve">847.2 (10.2%)</w:t>
                  </w:r>
                </w:p>
              </w:tc>
            </w:tr>
            <w:tr>
              <w:tc>
                <w:tcPr/>
                <w:p>
                  <w:pPr>
                    <w:pStyle w:val="Compact"/>
                    <w:jc w:val="left"/>
                    <w:jc w:val="center"/>
                  </w:pPr>
                  <w:r>
                    <w:t xml:space="preserve">5+ long interval</w:t>
                  </w:r>
                </w:p>
              </w:tc>
              <w:tc>
                <w:tcPr/>
                <w:p>
                  <w:pPr>
                    <w:pStyle w:val="Compact"/>
                    <w:jc w:val="right"/>
                    <w:jc w:val="center"/>
                  </w:pPr>
                  <w:r>
                    <w:t xml:space="preserve">1,992.8 (26.7%)</w:t>
                  </w:r>
                </w:p>
              </w:tc>
              <w:tc>
                <w:tcPr/>
                <w:p>
                  <w:pPr>
                    <w:pStyle w:val="Compact"/>
                    <w:jc w:val="right"/>
                    <w:jc w:val="center"/>
                  </w:pPr>
                  <w:r>
                    <w:t xml:space="preserve">190.7 (22.2%)</w:t>
                  </w:r>
                </w:p>
              </w:tc>
              <w:tc>
                <w:tcPr/>
                <w:p>
                  <w:pPr>
                    <w:pStyle w:val="Compact"/>
                    <w:jc w:val="right"/>
                    <w:jc w:val="center"/>
                  </w:pPr>
                  <w:r>
                    <w:t xml:space="preserve">2,183.5 (26.2%)</w:t>
                  </w:r>
                </w:p>
              </w:tc>
            </w:tr>
            <w:tr>
              <w:tc>
                <w:tcPr/>
                <w:p>
                  <w:pPr>
                    <w:pStyle w:val="Compact"/>
                    <w:jc w:val="left"/>
                    <w:jc w:val="center"/>
                  </w:pPr>
                  <w:r>
                    <w:t xml:space="preserve">Mother’s age at birth</w:t>
                  </w:r>
                </w:p>
              </w:tc>
              <w:tc>
                <w:tcPr/>
                <w:p>
                  <w:pPr>
                    <w:pStyle w:val="Compact"/>
                  </w:pPr>
                </w:p>
              </w:tc>
              <w:tc>
                <w:tcPr/>
                <w:p>
                  <w:pPr>
                    <w:pStyle w:val="Compact"/>
                  </w:pPr>
                </w:p>
              </w:tc>
              <w:tc>
                <w:tcPr/>
                <w:p>
                  <w:pPr>
                    <w:pStyle w:val="Compact"/>
                  </w:pPr>
                </w:p>
              </w:tc>
            </w:tr>
            <w:tr>
              <w:tc>
                <w:tcPr/>
                <w:p>
                  <w:pPr>
                    <w:pStyle w:val="Compact"/>
                    <w:jc w:val="left"/>
                    <w:jc w:val="center"/>
                  </w:pPr>
                  <w:r>
                    <w:t xml:space="preserve">20 or more</w:t>
                  </w:r>
                </w:p>
              </w:tc>
              <w:tc>
                <w:tcPr/>
                <w:p>
                  <w:pPr>
                    <w:pStyle w:val="Compact"/>
                    <w:jc w:val="right"/>
                    <w:jc w:val="center"/>
                  </w:pPr>
                  <w:r>
                    <w:t xml:space="preserve">4,256.1 (57.0%)</w:t>
                  </w:r>
                </w:p>
              </w:tc>
              <w:tc>
                <w:tcPr/>
                <w:p>
                  <w:pPr>
                    <w:pStyle w:val="Compact"/>
                    <w:jc w:val="right"/>
                    <w:jc w:val="center"/>
                  </w:pPr>
                  <w:r>
                    <w:t xml:space="preserve">472.6 (55.0%)</w:t>
                  </w:r>
                </w:p>
              </w:tc>
              <w:tc>
                <w:tcPr/>
                <w:p>
                  <w:pPr>
                    <w:pStyle w:val="Compact"/>
                    <w:jc w:val="right"/>
                    <w:jc w:val="center"/>
                  </w:pPr>
                  <w:r>
                    <w:t xml:space="preserve">4,728.8 (56.8%)</w:t>
                  </w:r>
                </w:p>
              </w:tc>
            </w:tr>
            <w:tr>
              <w:tc>
                <w:tcPr/>
                <w:p>
                  <w:pPr>
                    <w:pStyle w:val="Compact"/>
                    <w:jc w:val="left"/>
                    <w:jc w:val="center"/>
                  </w:pPr>
                  <w:r>
                    <w:t xml:space="preserve">Less than 20</w:t>
                  </w:r>
                </w:p>
              </w:tc>
              <w:tc>
                <w:tcPr/>
                <w:p>
                  <w:pPr>
                    <w:pStyle w:val="Compact"/>
                    <w:jc w:val="right"/>
                    <w:jc w:val="center"/>
                  </w:pPr>
                  <w:r>
                    <w:t xml:space="preserve">3,208.1 (43.0%)</w:t>
                  </w:r>
                </w:p>
              </w:tc>
              <w:tc>
                <w:tcPr/>
                <w:p>
                  <w:pPr>
                    <w:pStyle w:val="Compact"/>
                    <w:jc w:val="right"/>
                    <w:jc w:val="center"/>
                  </w:pPr>
                  <w:r>
                    <w:t xml:space="preserve">386.2 (45.0%)</w:t>
                  </w:r>
                </w:p>
              </w:tc>
              <w:tc>
                <w:tcPr/>
                <w:p>
                  <w:pPr>
                    <w:pStyle w:val="Compact"/>
                    <w:jc w:val="right"/>
                    <w:jc w:val="center"/>
                  </w:pPr>
                  <w:r>
                    <w:t xml:space="preserve">3,594.3 (43.2%)</w:t>
                  </w:r>
                </w:p>
              </w:tc>
            </w:tr>
            <w:tr>
              <w:tc>
                <w:tcPr/>
                <w:p>
                  <w:pPr>
                    <w:pStyle w:val="Compact"/>
                    <w:jc w:val="left"/>
                    <w:jc w:val="center"/>
                  </w:pPr>
                  <w:r>
                    <w:t xml:space="preserve">Type of residence</w:t>
                  </w:r>
                </w:p>
              </w:tc>
              <w:tc>
                <w:tcPr/>
                <w:p>
                  <w:pPr>
                    <w:pStyle w:val="Compact"/>
                  </w:pPr>
                </w:p>
              </w:tc>
              <w:tc>
                <w:tcPr/>
                <w:p>
                  <w:pPr>
                    <w:pStyle w:val="Compact"/>
                  </w:pPr>
                </w:p>
              </w:tc>
              <w:tc>
                <w:tcPr/>
                <w:p>
                  <w:pPr>
                    <w:pStyle w:val="Compact"/>
                  </w:pPr>
                </w:p>
              </w:tc>
            </w:tr>
            <w:tr>
              <w:tc>
                <w:tcPr/>
                <w:p>
                  <w:pPr>
                    <w:pStyle w:val="Compact"/>
                    <w:jc w:val="left"/>
                    <w:jc w:val="center"/>
                  </w:pPr>
                  <w:r>
                    <w:t xml:space="preserve">Urban</w:t>
                  </w:r>
                </w:p>
              </w:tc>
              <w:tc>
                <w:tcPr/>
                <w:p>
                  <w:pPr>
                    <w:pStyle w:val="Compact"/>
                    <w:jc w:val="right"/>
                    <w:jc w:val="center"/>
                  </w:pPr>
                  <w:r>
                    <w:t xml:space="preserve">2,932.1 (39.3%)</w:t>
                  </w:r>
                </w:p>
              </w:tc>
              <w:tc>
                <w:tcPr/>
                <w:p>
                  <w:pPr>
                    <w:pStyle w:val="Compact"/>
                    <w:jc w:val="right"/>
                    <w:jc w:val="center"/>
                  </w:pPr>
                  <w:r>
                    <w:t xml:space="preserve">263.6 (30.7%)</w:t>
                  </w:r>
                </w:p>
              </w:tc>
              <w:tc>
                <w:tcPr/>
                <w:p>
                  <w:pPr>
                    <w:pStyle w:val="Compact"/>
                    <w:jc w:val="right"/>
                    <w:jc w:val="center"/>
                  </w:pPr>
                  <w:r>
                    <w:t xml:space="preserve">3,195.7 (38.4%)</w:t>
                  </w:r>
                </w:p>
              </w:tc>
            </w:tr>
            <w:tr>
              <w:tc>
                <w:tcPr/>
                <w:p>
                  <w:pPr>
                    <w:pStyle w:val="Compact"/>
                    <w:jc w:val="left"/>
                    <w:jc w:val="center"/>
                  </w:pPr>
                  <w:r>
                    <w:t xml:space="preserve">Rural</w:t>
                  </w:r>
                </w:p>
              </w:tc>
              <w:tc>
                <w:tcPr/>
                <w:p>
                  <w:pPr>
                    <w:pStyle w:val="Compact"/>
                    <w:jc w:val="right"/>
                    <w:jc w:val="center"/>
                  </w:pPr>
                  <w:r>
                    <w:t xml:space="preserve">4,532.2 (60.7%)</w:t>
                  </w:r>
                </w:p>
              </w:tc>
              <w:tc>
                <w:tcPr/>
                <w:p>
                  <w:pPr>
                    <w:pStyle w:val="Compact"/>
                    <w:jc w:val="right"/>
                    <w:jc w:val="center"/>
                  </w:pPr>
                  <w:r>
                    <w:t xml:space="preserve">595.2 (69.3%)</w:t>
                  </w:r>
                </w:p>
              </w:tc>
              <w:tc>
                <w:tcPr/>
                <w:p>
                  <w:pPr>
                    <w:pStyle w:val="Compact"/>
                    <w:jc w:val="right"/>
                    <w:jc w:val="center"/>
                  </w:pPr>
                  <w:r>
                    <w:t xml:space="preserve">5,127.4 (61.6%)</w:t>
                  </w:r>
                </w:p>
              </w:tc>
            </w:tr>
            <w:tr>
              <w:tc>
                <w:tcPr/>
                <w:p>
                  <w:pPr>
                    <w:pStyle w:val="Compact"/>
                    <w:jc w:val="left"/>
                    <w:jc w:val="center"/>
                  </w:pPr>
                  <w:r>
                    <w:t xml:space="preserve">Mother’s education</w:t>
                  </w:r>
                </w:p>
              </w:tc>
              <w:tc>
                <w:tcPr/>
                <w:p>
                  <w:pPr>
                    <w:pStyle w:val="Compact"/>
                  </w:pPr>
                </w:p>
              </w:tc>
              <w:tc>
                <w:tcPr/>
                <w:p>
                  <w:pPr>
                    <w:pStyle w:val="Compact"/>
                  </w:pPr>
                </w:p>
              </w:tc>
              <w:tc>
                <w:tcPr/>
                <w:p>
                  <w:pPr>
                    <w:pStyle w:val="Compact"/>
                  </w:pPr>
                </w:p>
              </w:tc>
            </w:tr>
            <w:tr>
              <w:tc>
                <w:tcPr/>
                <w:p>
                  <w:pPr>
                    <w:pStyle w:val="Compact"/>
                    <w:jc w:val="left"/>
                    <w:jc w:val="center"/>
                  </w:pPr>
                  <w:r>
                    <w:t xml:space="preserve">Any education</w:t>
                  </w:r>
                </w:p>
              </w:tc>
              <w:tc>
                <w:tcPr/>
                <w:p>
                  <w:pPr>
                    <w:pStyle w:val="Compact"/>
                    <w:jc w:val="right"/>
                    <w:jc w:val="center"/>
                  </w:pPr>
                  <w:r>
                    <w:t xml:space="preserve">3,342.9 (44.8%)</w:t>
                  </w:r>
                </w:p>
              </w:tc>
              <w:tc>
                <w:tcPr/>
                <w:p>
                  <w:pPr>
                    <w:pStyle w:val="Compact"/>
                    <w:jc w:val="right"/>
                    <w:jc w:val="center"/>
                  </w:pPr>
                  <w:r>
                    <w:t xml:space="preserve">278.8 (32.5%)</w:t>
                  </w:r>
                </w:p>
              </w:tc>
              <w:tc>
                <w:tcPr/>
                <w:p>
                  <w:pPr>
                    <w:pStyle w:val="Compact"/>
                    <w:jc w:val="right"/>
                    <w:jc w:val="center"/>
                  </w:pPr>
                  <w:r>
                    <w:t xml:space="preserve">3,621.8 (43.5%)</w:t>
                  </w:r>
                </w:p>
              </w:tc>
            </w:tr>
            <w:tr>
              <w:tc>
                <w:tcPr/>
                <w:p>
                  <w:pPr>
                    <w:pStyle w:val="Compact"/>
                    <w:jc w:val="left"/>
                    <w:jc w:val="center"/>
                  </w:pPr>
                  <w:r>
                    <w:t xml:space="preserve">No education</w:t>
                  </w:r>
                </w:p>
              </w:tc>
              <w:tc>
                <w:tcPr/>
                <w:p>
                  <w:pPr>
                    <w:pStyle w:val="Compact"/>
                    <w:jc w:val="right"/>
                    <w:jc w:val="center"/>
                  </w:pPr>
                  <w:r>
                    <w:t xml:space="preserve">4,121.4 (55.2%)</w:t>
                  </w:r>
                </w:p>
              </w:tc>
              <w:tc>
                <w:tcPr/>
                <w:p>
                  <w:pPr>
                    <w:pStyle w:val="Compact"/>
                    <w:jc w:val="right"/>
                    <w:jc w:val="center"/>
                  </w:pPr>
                  <w:r>
                    <w:t xml:space="preserve">579.9 (67.5%)</w:t>
                  </w:r>
                </w:p>
              </w:tc>
              <w:tc>
                <w:tcPr/>
                <w:p>
                  <w:pPr>
                    <w:pStyle w:val="Compact"/>
                    <w:jc w:val="right"/>
                    <w:jc w:val="center"/>
                  </w:pPr>
                  <w:r>
                    <w:t xml:space="preserve">4,701.3 (56.5%)</w:t>
                  </w:r>
                </w:p>
              </w:tc>
            </w:tr>
            <w:tr>
              <w:tc>
                <w:tcPr/>
                <w:p>
                  <w:pPr>
                    <w:pStyle w:val="Compact"/>
                    <w:jc w:val="left"/>
                    <w:jc w:val="center"/>
                  </w:pPr>
                  <w:r>
                    <w:t xml:space="preserve">Father’s education</w:t>
                  </w:r>
                </w:p>
              </w:tc>
              <w:tc>
                <w:tcPr/>
                <w:p>
                  <w:pPr>
                    <w:pStyle w:val="Compact"/>
                  </w:pPr>
                </w:p>
              </w:tc>
              <w:tc>
                <w:tcPr/>
                <w:p>
                  <w:pPr>
                    <w:pStyle w:val="Compact"/>
                  </w:pPr>
                </w:p>
              </w:tc>
              <w:tc>
                <w:tcPr/>
                <w:p>
                  <w:pPr>
                    <w:pStyle w:val="Compact"/>
                  </w:pPr>
                </w:p>
              </w:tc>
            </w:tr>
            <w:tr>
              <w:tc>
                <w:tcPr/>
                <w:p>
                  <w:pPr>
                    <w:pStyle w:val="Compact"/>
                    <w:jc w:val="left"/>
                    <w:jc w:val="center"/>
                  </w:pPr>
                  <w:r>
                    <w:t xml:space="preserve">Any education</w:t>
                  </w:r>
                </w:p>
              </w:tc>
              <w:tc>
                <w:tcPr/>
                <w:p>
                  <w:pPr>
                    <w:pStyle w:val="Compact"/>
                    <w:jc w:val="right"/>
                    <w:jc w:val="center"/>
                  </w:pPr>
                  <w:r>
                    <w:t xml:space="preserve">5,490 (73.6%)</w:t>
                  </w:r>
                </w:p>
              </w:tc>
              <w:tc>
                <w:tcPr/>
                <w:p>
                  <w:pPr>
                    <w:pStyle w:val="Compact"/>
                    <w:jc w:val="right"/>
                    <w:jc w:val="center"/>
                  </w:pPr>
                  <w:r>
                    <w:t xml:space="preserve">589.1 (68.6%)</w:t>
                  </w:r>
                </w:p>
              </w:tc>
              <w:tc>
                <w:tcPr/>
                <w:p>
                  <w:pPr>
                    <w:pStyle w:val="Compact"/>
                    <w:jc w:val="right"/>
                    <w:jc w:val="center"/>
                  </w:pPr>
                  <w:r>
                    <w:t xml:space="preserve">6,079.2 (73.0%)</w:t>
                  </w:r>
                </w:p>
              </w:tc>
            </w:tr>
            <w:tr>
              <w:tc>
                <w:tcPr/>
                <w:p>
                  <w:pPr>
                    <w:pStyle w:val="Compact"/>
                    <w:jc w:val="left"/>
                    <w:jc w:val="center"/>
                  </w:pPr>
                  <w:r>
                    <w:t xml:space="preserve">No education</w:t>
                  </w:r>
                </w:p>
              </w:tc>
              <w:tc>
                <w:tcPr/>
                <w:p>
                  <w:pPr>
                    <w:pStyle w:val="Compact"/>
                    <w:jc w:val="right"/>
                    <w:jc w:val="center"/>
                  </w:pPr>
                  <w:r>
                    <w:t xml:space="preserve">1,974.3 (26.4%)</w:t>
                  </w:r>
                </w:p>
              </w:tc>
              <w:tc>
                <w:tcPr/>
                <w:p>
                  <w:pPr>
                    <w:pStyle w:val="Compact"/>
                    <w:jc w:val="right"/>
                    <w:jc w:val="center"/>
                  </w:pPr>
                  <w:r>
                    <w:t xml:space="preserve">269.7 (31.4%)</w:t>
                  </w:r>
                </w:p>
              </w:tc>
              <w:tc>
                <w:tcPr/>
                <w:p>
                  <w:pPr>
                    <w:pStyle w:val="Compact"/>
                    <w:jc w:val="right"/>
                    <w:jc w:val="center"/>
                  </w:pPr>
                  <w:r>
                    <w:t xml:space="preserve">2,243.9 (27.0%)</w:t>
                  </w:r>
                </w:p>
              </w:tc>
            </w:tr>
            <w:tr>
              <w:tc>
                <w:tcPr/>
                <w:p>
                  <w:pPr>
                    <w:pStyle w:val="Compact"/>
                    <w:jc w:val="left"/>
                    <w:jc w:val="center"/>
                  </w:pPr>
                  <w:r>
                    <w:t xml:space="preserve">Mother’s occupation</w:t>
                  </w:r>
                </w:p>
              </w:tc>
              <w:tc>
                <w:tcPr/>
                <w:p>
                  <w:pPr>
                    <w:pStyle w:val="Compact"/>
                  </w:pPr>
                </w:p>
              </w:tc>
              <w:tc>
                <w:tcPr/>
                <w:p>
                  <w:pPr>
                    <w:pStyle w:val="Compact"/>
                  </w:pPr>
                </w:p>
              </w:tc>
              <w:tc>
                <w:tcPr/>
                <w:p>
                  <w:pPr>
                    <w:pStyle w:val="Compact"/>
                  </w:pPr>
                </w:p>
              </w:tc>
            </w:tr>
            <w:tr>
              <w:tc>
                <w:tcPr/>
                <w:p>
                  <w:pPr>
                    <w:pStyle w:val="Compact"/>
                    <w:jc w:val="left"/>
                    <w:jc w:val="center"/>
                  </w:pPr>
                  <w:r>
                    <w:t xml:space="preserve">Other</w:t>
                  </w:r>
                </w:p>
              </w:tc>
              <w:tc>
                <w:tcPr/>
                <w:p>
                  <w:pPr>
                    <w:pStyle w:val="Compact"/>
                    <w:jc w:val="right"/>
                    <w:jc w:val="center"/>
                  </w:pPr>
                  <w:r>
                    <w:t xml:space="preserve">1,610.2 (21.6%)</w:t>
                  </w:r>
                </w:p>
              </w:tc>
              <w:tc>
                <w:tcPr/>
                <w:p>
                  <w:pPr>
                    <w:pStyle w:val="Compact"/>
                    <w:jc w:val="right"/>
                    <w:jc w:val="center"/>
                  </w:pPr>
                  <w:r>
                    <w:t xml:space="preserve">135.1 (15.7%)</w:t>
                  </w:r>
                </w:p>
              </w:tc>
              <w:tc>
                <w:tcPr/>
                <w:p>
                  <w:pPr>
                    <w:pStyle w:val="Compact"/>
                    <w:jc w:val="right"/>
                    <w:jc w:val="center"/>
                  </w:pPr>
                  <w:r>
                    <w:t xml:space="preserve">1,745.4 (21.0%)</w:t>
                  </w:r>
                </w:p>
              </w:tc>
            </w:tr>
            <w:tr>
              <w:tc>
                <w:tcPr/>
                <w:p>
                  <w:pPr>
                    <w:pStyle w:val="Compact"/>
                    <w:jc w:val="left"/>
                    <w:jc w:val="center"/>
                  </w:pPr>
                  <w:r>
                    <w:t xml:space="preserve">Household, unskilled, not working</w:t>
                  </w:r>
                </w:p>
              </w:tc>
              <w:tc>
                <w:tcPr/>
                <w:p>
                  <w:pPr>
                    <w:pStyle w:val="Compact"/>
                    <w:jc w:val="right"/>
                    <w:jc w:val="center"/>
                  </w:pPr>
                  <w:r>
                    <w:t xml:space="preserve">1,757.2 (23.5%)</w:t>
                  </w:r>
                </w:p>
              </w:tc>
              <w:tc>
                <w:tcPr/>
                <w:p>
                  <w:pPr>
                    <w:pStyle w:val="Compact"/>
                    <w:jc w:val="right"/>
                    <w:jc w:val="center"/>
                  </w:pPr>
                  <w:r>
                    <w:t xml:space="preserve">172.1 (20.0%)</w:t>
                  </w:r>
                </w:p>
              </w:tc>
              <w:tc>
                <w:tcPr/>
                <w:p>
                  <w:pPr>
                    <w:pStyle w:val="Compact"/>
                    <w:jc w:val="right"/>
                    <w:jc w:val="center"/>
                  </w:pPr>
                  <w:r>
                    <w:t xml:space="preserve">1,929.4 (23.2%)</w:t>
                  </w:r>
                </w:p>
              </w:tc>
            </w:tr>
            <w:tr>
              <w:tc>
                <w:tcPr/>
                <w:p>
                  <w:pPr>
                    <w:pStyle w:val="Compact"/>
                    <w:jc w:val="left"/>
                    <w:jc w:val="center"/>
                  </w:pPr>
                  <w:r>
                    <w:t xml:space="preserve">Agriculture</w:t>
                  </w:r>
                </w:p>
              </w:tc>
              <w:tc>
                <w:tcPr/>
                <w:p>
                  <w:pPr>
                    <w:pStyle w:val="Compact"/>
                    <w:jc w:val="right"/>
                    <w:jc w:val="center"/>
                  </w:pPr>
                  <w:r>
                    <w:t xml:space="preserve">4,096.8 (54.9%)</w:t>
                  </w:r>
                </w:p>
              </w:tc>
              <w:tc>
                <w:tcPr/>
                <w:p>
                  <w:pPr>
                    <w:pStyle w:val="Compact"/>
                    <w:jc w:val="right"/>
                    <w:jc w:val="center"/>
                  </w:pPr>
                  <w:r>
                    <w:t xml:space="preserve">551.6 (64.2%)</w:t>
                  </w:r>
                </w:p>
              </w:tc>
              <w:tc>
                <w:tcPr/>
                <w:p>
                  <w:pPr>
                    <w:pStyle w:val="Compact"/>
                    <w:jc w:val="right"/>
                    <w:jc w:val="center"/>
                  </w:pPr>
                  <w:r>
                    <w:t xml:space="preserve">4,648.4 (55.8%)</w:t>
                  </w:r>
                </w:p>
              </w:tc>
            </w:tr>
            <w:tr>
              <w:tc>
                <w:tcPr/>
                <w:p>
                  <w:pPr>
                    <w:pStyle w:val="Compact"/>
                    <w:jc w:val="left"/>
                    <w:jc w:val="center"/>
                  </w:pPr>
                  <w:r>
                    <w:t xml:space="preserve">Father’s occupation</w:t>
                  </w:r>
                </w:p>
              </w:tc>
              <w:tc>
                <w:tcPr/>
                <w:p>
                  <w:pPr>
                    <w:pStyle w:val="Compact"/>
                  </w:pPr>
                </w:p>
              </w:tc>
              <w:tc>
                <w:tcPr/>
                <w:p>
                  <w:pPr>
                    <w:pStyle w:val="Compact"/>
                  </w:pPr>
                </w:p>
              </w:tc>
              <w:tc>
                <w:tcPr/>
                <w:p>
                  <w:pPr>
                    <w:pStyle w:val="Compact"/>
                  </w:pPr>
                </w:p>
              </w:tc>
            </w:tr>
            <w:tr>
              <w:tc>
                <w:tcPr/>
                <w:p>
                  <w:pPr>
                    <w:pStyle w:val="Compact"/>
                    <w:jc w:val="left"/>
                    <w:jc w:val="center"/>
                  </w:pPr>
                  <w:r>
                    <w:t xml:space="preserve">Other</w:t>
                  </w:r>
                </w:p>
              </w:tc>
              <w:tc>
                <w:tcPr/>
                <w:p>
                  <w:pPr>
                    <w:pStyle w:val="Compact"/>
                    <w:jc w:val="right"/>
                    <w:jc w:val="center"/>
                  </w:pPr>
                  <w:r>
                    <w:t xml:space="preserve">2,810.3 (37.6%)</w:t>
                  </w:r>
                </w:p>
              </w:tc>
              <w:tc>
                <w:tcPr/>
                <w:p>
                  <w:pPr>
                    <w:pStyle w:val="Compact"/>
                    <w:jc w:val="right"/>
                    <w:jc w:val="center"/>
                  </w:pPr>
                  <w:r>
                    <w:t xml:space="preserve">242.1 (28.2%)</w:t>
                  </w:r>
                </w:p>
              </w:tc>
              <w:tc>
                <w:tcPr/>
                <w:p>
                  <w:pPr>
                    <w:pStyle w:val="Compact"/>
                    <w:jc w:val="right"/>
                    <w:jc w:val="center"/>
                  </w:pPr>
                  <w:r>
                    <w:t xml:space="preserve">3,052.4 (36.7%)</w:t>
                  </w:r>
                </w:p>
              </w:tc>
            </w:tr>
            <w:tr>
              <w:tc>
                <w:tcPr/>
                <w:p>
                  <w:pPr>
                    <w:pStyle w:val="Compact"/>
                    <w:jc w:val="left"/>
                    <w:jc w:val="center"/>
                  </w:pPr>
                  <w:r>
                    <w:t xml:space="preserve">Household, unskilled, not working</w:t>
                  </w:r>
                </w:p>
              </w:tc>
              <w:tc>
                <w:tcPr/>
                <w:p>
                  <w:pPr>
                    <w:pStyle w:val="Compact"/>
                    <w:jc w:val="right"/>
                    <w:jc w:val="center"/>
                  </w:pPr>
                  <w:r>
                    <w:t xml:space="preserve">961.3 (12.9%)</w:t>
                  </w:r>
                </w:p>
              </w:tc>
              <w:tc>
                <w:tcPr/>
                <w:p>
                  <w:pPr>
                    <w:pStyle w:val="Compact"/>
                    <w:jc w:val="right"/>
                    <w:jc w:val="center"/>
                  </w:pPr>
                  <w:r>
                    <w:t xml:space="preserve">108.5 (12.6%)</w:t>
                  </w:r>
                </w:p>
              </w:tc>
              <w:tc>
                <w:tcPr/>
                <w:p>
                  <w:pPr>
                    <w:pStyle w:val="Compact"/>
                    <w:jc w:val="right"/>
                    <w:jc w:val="center"/>
                  </w:pPr>
                  <w:r>
                    <w:t xml:space="preserve">1,069.8 (12.9%)</w:t>
                  </w:r>
                </w:p>
              </w:tc>
            </w:tr>
            <w:tr>
              <w:tc>
                <w:tcPr/>
                <w:p>
                  <w:pPr>
                    <w:pStyle w:val="Compact"/>
                    <w:jc w:val="left"/>
                    <w:jc w:val="center"/>
                  </w:pPr>
                  <w:r>
                    <w:t xml:space="preserve">Agriculture</w:t>
                  </w:r>
                </w:p>
              </w:tc>
              <w:tc>
                <w:tcPr/>
                <w:p>
                  <w:pPr>
                    <w:pStyle w:val="Compact"/>
                    <w:jc w:val="right"/>
                    <w:jc w:val="center"/>
                  </w:pPr>
                  <w:r>
                    <w:t xml:space="preserve">3,692.7 (49.5%)</w:t>
                  </w:r>
                </w:p>
              </w:tc>
              <w:tc>
                <w:tcPr/>
                <w:p>
                  <w:pPr>
                    <w:pStyle w:val="Compact"/>
                    <w:jc w:val="right"/>
                    <w:jc w:val="center"/>
                  </w:pPr>
                  <w:r>
                    <w:t xml:space="preserve">508.1 (59.2%)</w:t>
                  </w:r>
                </w:p>
              </w:tc>
              <w:tc>
                <w:tcPr/>
                <w:p>
                  <w:pPr>
                    <w:pStyle w:val="Compact"/>
                    <w:jc w:val="right"/>
                    <w:jc w:val="center"/>
                  </w:pPr>
                  <w:r>
                    <w:t xml:space="preserve">4,200.9 (50.5%)</w:t>
                  </w:r>
                </w:p>
              </w:tc>
            </w:tr>
          </w:tbl>
          <w:bookmarkEnd w:id="194"/>
          <w:p/>
        </w:tc>
      </w:tr>
    </w:tbl>
    <w:tbl>
      <w:tblPr>
        <w:tblStyle w:val="Table"/>
        <w:tblW w:type="pct" w:w="5000"/>
        <w:tblLayout w:type="fixed"/>
        <w:tblLook w:firstRow="0" w:lastRow="0" w:firstColumn="0" w:lastColumn="0" w:noHBand="0" w:noVBand="0" w:val="0000"/>
      </w:tblPr>
      <w:tblGrid>
        <w:gridCol w:w="7920"/>
      </w:tblGrid>
      <w:tr>
        <w:tc>
          <w:tcPr/>
          <w:bookmarkStart w:id="198" w:name="Xae73381f5eabb14ee7a1a9401f1fbd7f28ab9ec"/>
          <w:p>
            <w:pPr>
              <w:pStyle w:val="Compact"/>
              <w:jc w:val="center"/>
            </w:pPr>
            <w:r>
              <w:drawing>
                <wp:inline>
                  <wp:extent cx="5334000" cy="3593601"/>
                  <wp:effectExtent b="0" l="0" r="0" t="0"/>
                  <wp:docPr descr="" title="" id="196" name="Picture"/>
                  <a:graphic>
                    <a:graphicData uri="http://schemas.openxmlformats.org/drawingml/2006/picture">
                      <pic:pic>
                        <pic:nvPicPr>
                          <pic:cNvPr descr="MSE_Thesis_Decomposition_of_CI_Trees_MM_files/figure-docx/fig-appendix-province-mortality-distribution-1.pdf" id="197" name="Picture"/>
                          <pic:cNvPicPr>
                            <a:picLocks noChangeArrowheads="1" noChangeAspect="1"/>
                          </pic:cNvPicPr>
                        </pic:nvPicPr>
                        <pic:blipFill>
                          <a:blip r:embed="rId195"/>
                          <a:stretch>
                            <a:fillRect/>
                          </a:stretch>
                        </pic:blipFill>
                        <pic:spPr bwMode="auto">
                          <a:xfrm>
                            <a:off x="0" y="0"/>
                            <a:ext cx="5334000" cy="35936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Weighted province distribution by under-five mortality status.</w:t>
            </w:r>
          </w:p>
          <w:bookmarkEnd w:id="198"/>
        </w:tc>
      </w:tr>
    </w:tbl>
    <w:bookmarkEnd w:id="199"/>
    <w:bookmarkStart w:id="210" w:name="Xfa72af7bb6f61d0311166f547f01ea119790dac"/>
    <w:p>
      <w:pPr>
        <w:pStyle w:val="Heading3"/>
      </w:pPr>
      <w:r>
        <w:t xml:space="preserve">Appendix R2: Regression and Predictive-Forest Details</w:t>
      </w:r>
    </w:p>
    <w:bookmarkStart w:id="201" w:name="regression-model-summary"/>
    <w:p>
      <w:pPr>
        <w:pStyle w:val="Heading4"/>
      </w:pPr>
      <w:r>
        <w:t xml:space="preserve">Regression model summary</w:t>
      </w:r>
    </w:p>
    <w:tbl>
      <w:tblPr>
        <w:tblStyle w:val="Table"/>
        <w:tblW w:type="pct" w:w="5000"/>
        <w:tblLayout w:type="fixed"/>
        <w:tblLook w:firstRow="0" w:lastRow="0" w:firstColumn="0" w:lastColumn="0" w:noHBand="0" w:noVBand="0" w:val="0000"/>
      </w:tblPr>
      <w:tblGrid>
        <w:gridCol w:w="7920"/>
      </w:tblGrid>
      <w:tr>
        <w:tc>
          <w:tcPr/>
          <w:bookmarkStart w:id="200" w:name="tbl-appendix-regression-model-summary"/>
          <w:p>
            <w:pPr>
              <w:jc w:val="center"/>
            </w:pPr>
            <w:pPr>
              <w:jc w:val="left"/>
              <w:spacing w:before="200"/>
              <w:pStyle w:val="ImageCaption"/>
            </w:pPr>
            <w:r>
              <w:t xml:space="preserve">Table 3: Survey-weighted regression model summary.</w:t>
            </w:r>
          </w:p>
          <w:p>
            <w:pPr>
              <w:pStyle w:val="Compact"/>
              <w:jc w:val="center"/>
            </w:pPr>
            <w:r>
              <w:t xml:space="preserve">Survey-weighted regression model summary</w:t>
            </w:r>
          </w:p>
          <w:tbl>
            <w:tblPr>
              <w:tblStyle w:val="Table"/>
              <w:tblW w:type="pct" w:w="5000"/>
              <w:tblLayout w:type="fixed"/>
              <w:tblLook w:firstRow="1" w:lastRow="0" w:firstColumn="0" w:lastColumn="0" w:noHBand="0" w:noVBand="0" w:val="0020"/>
              <w:tblCaption w:val="Survey-weighted regression model summary"/>
            </w:tblPr>
            <w:tblGrid>
              <w:gridCol w:w="3665"/>
              <w:gridCol w:w="654"/>
              <w:gridCol w:w="785"/>
              <w:gridCol w:w="720"/>
              <w:gridCol w:w="589"/>
              <w:gridCol w:w="720"/>
              <w:gridCol w:w="785"/>
            </w:tblGrid>
            <w:tr>
              <w:trPr>
                <w:tblHeader w:val="on"/>
              </w:trPr>
              <w:tc>
                <w:tcPr/>
                <w:p>
                  <w:pPr>
                    <w:pStyle w:val="Compact"/>
                    <w:jc w:val="center"/>
                  </w:pPr>
                  <w:r>
                    <w:t xml:space="preserve">Term</w:t>
                  </w:r>
                </w:p>
              </w:tc>
              <w:tc>
                <w:tcPr/>
                <w:p>
                  <w:pPr>
                    <w:pStyle w:val="Compact"/>
                    <w:jc w:val="center"/>
                  </w:pPr>
                  <w:r>
                    <w:t xml:space="preserve">Estimate</w:t>
                  </w:r>
                </w:p>
              </w:tc>
              <w:tc>
                <w:tcPr/>
                <w:p>
                  <w:pPr>
                    <w:pStyle w:val="Compact"/>
                    <w:jc w:val="center"/>
                  </w:pPr>
                  <w:r>
                    <w:t xml:space="preserve">Std. error</w:t>
                  </w:r>
                </w:p>
              </w:tc>
              <w:tc>
                <w:tcPr/>
                <w:p>
                  <w:pPr>
                    <w:pStyle w:val="Compact"/>
                    <w:jc w:val="center"/>
                  </w:pPr>
                  <w:r>
                    <w:t xml:space="preserve">Statistic</w:t>
                  </w:r>
                </w:p>
              </w:tc>
              <w:tc>
                <w:tcPr/>
                <w:p>
                  <w:pPr>
                    <w:pStyle w:val="Compact"/>
                    <w:jc w:val="center"/>
                  </w:pPr>
                  <w:r>
                    <w:t xml:space="preserve">p-value</w:t>
                  </w:r>
                </w:p>
              </w:tc>
              <w:tc>
                <w:tcPr/>
                <w:p>
                  <w:pPr>
                    <w:pStyle w:val="Compact"/>
                    <w:jc w:val="center"/>
                  </w:pPr>
                  <w:r>
                    <w:t xml:space="preserve">Conf. low</w:t>
                  </w:r>
                </w:p>
              </w:tc>
              <w:tc>
                <w:tcPr/>
                <w:p>
                  <w:pPr>
                    <w:pStyle w:val="Compact"/>
                    <w:jc w:val="center"/>
                  </w:pPr>
                  <w:r>
                    <w:t xml:space="preserve">Conf. high</w:t>
                  </w:r>
                </w:p>
              </w:tc>
            </w:tr>
            <w:tr>
              <w:tc>
                <w:tcPr/>
                <w:p>
                  <w:pPr>
                    <w:pStyle w:val="Compact"/>
                    <w:jc w:val="center"/>
                  </w:pPr>
                  <w:r>
                    <w:t xml:space="preserve">Intercept</w:t>
                  </w:r>
                </w:p>
              </w:tc>
              <w:tc>
                <w:tcPr/>
                <w:p>
                  <w:pPr>
                    <w:pStyle w:val="Compact"/>
                    <w:jc w:val="center"/>
                  </w:pPr>
                  <w:r>
                    <w:t xml:space="preserve">-2.908</w:t>
                  </w:r>
                </w:p>
              </w:tc>
              <w:tc>
                <w:tcPr/>
                <w:p>
                  <w:pPr>
                    <w:pStyle w:val="Compact"/>
                    <w:jc w:val="center"/>
                  </w:pPr>
                  <w:r>
                    <w:t xml:space="preserve">0.275</w:t>
                  </w:r>
                </w:p>
              </w:tc>
              <w:tc>
                <w:tcPr/>
                <w:p>
                  <w:pPr>
                    <w:pStyle w:val="Compact"/>
                    <w:jc w:val="center"/>
                  </w:pPr>
                  <w:r>
                    <w:t xml:space="preserve">-10.563</w:t>
                  </w:r>
                </w:p>
              </w:tc>
              <w:tc>
                <w:tcPr/>
                <w:p>
                  <w:pPr>
                    <w:pStyle w:val="Compact"/>
                    <w:jc w:val="center"/>
                  </w:pPr>
                  <w:r>
                    <w:t xml:space="preserve">&lt;0.001</w:t>
                  </w:r>
                </w:p>
              </w:tc>
              <w:tc>
                <w:tcPr/>
                <w:p>
                  <w:pPr>
                    <w:pStyle w:val="Compact"/>
                    <w:jc w:val="center"/>
                  </w:pPr>
                  <w:r>
                    <w:t xml:space="preserve">-3.448</w:t>
                  </w:r>
                </w:p>
              </w:tc>
              <w:tc>
                <w:tcPr/>
                <w:p>
                  <w:pPr>
                    <w:pStyle w:val="Compact"/>
                    <w:jc w:val="center"/>
                  </w:pPr>
                  <w:r>
                    <w:t xml:space="preserve">-2.369</w:t>
                  </w:r>
                </w:p>
              </w:tc>
            </w:tr>
            <w:tr>
              <w:tc>
                <w:tcPr/>
                <w:p>
                  <w:pPr>
                    <w:pStyle w:val="Compact"/>
                    <w:jc w:val="center"/>
                  </w:pPr>
                  <w:r>
                    <w:t xml:space="preserve">Household wealth</w:t>
                  </w:r>
                </w:p>
              </w:tc>
              <w:tc>
                <w:tcPr/>
                <w:p>
                  <w:pPr>
                    <w:pStyle w:val="Compact"/>
                    <w:jc w:val="center"/>
                  </w:pPr>
                  <w:r>
                    <w:t xml:space="preserve">0.068</w:t>
                  </w:r>
                </w:p>
              </w:tc>
              <w:tc>
                <w:tcPr/>
                <w:p>
                  <w:pPr>
                    <w:pStyle w:val="Compact"/>
                    <w:jc w:val="center"/>
                  </w:pPr>
                  <w:r>
                    <w:t xml:space="preserve">0.125</w:t>
                  </w:r>
                </w:p>
              </w:tc>
              <w:tc>
                <w:tcPr/>
                <w:p>
                  <w:pPr>
                    <w:pStyle w:val="Compact"/>
                    <w:jc w:val="center"/>
                  </w:pPr>
                  <w:r>
                    <w:t xml:space="preserve">0.544</w:t>
                  </w:r>
                </w:p>
              </w:tc>
              <w:tc>
                <w:tcPr/>
                <w:p>
                  <w:pPr>
                    <w:pStyle w:val="Compact"/>
                    <w:jc w:val="center"/>
                  </w:pPr>
                  <w:r>
                    <w:t xml:space="preserve">0.5865</w:t>
                  </w:r>
                </w:p>
              </w:tc>
              <w:tc>
                <w:tcPr/>
                <w:p>
                  <w:pPr>
                    <w:pStyle w:val="Compact"/>
                    <w:jc w:val="center"/>
                  </w:pPr>
                  <w:r>
                    <w:t xml:space="preserve">-0.177</w:t>
                  </w:r>
                </w:p>
              </w:tc>
              <w:tc>
                <w:tcPr/>
                <w:p>
                  <w:pPr>
                    <w:pStyle w:val="Compact"/>
                    <w:jc w:val="center"/>
                  </w:pPr>
                  <w:r>
                    <w:t xml:space="preserve">0.314</w:t>
                  </w:r>
                </w:p>
              </w:tc>
            </w:tr>
            <w:tr>
              <w:tc>
                <w:tcPr/>
                <w:p>
                  <w:pPr>
                    <w:pStyle w:val="Compact"/>
                    <w:jc w:val="center"/>
                  </w:pPr>
                  <w:r>
                    <w:t xml:space="preserve">Skilled birth attendance</w:t>
                  </w:r>
                </w:p>
              </w:tc>
              <w:tc>
                <w:tcPr/>
                <w:p>
                  <w:pPr>
                    <w:pStyle w:val="Compact"/>
                    <w:jc w:val="center"/>
                  </w:pPr>
                  <w:r>
                    <w:t xml:space="preserve">0.198</w:t>
                  </w:r>
                </w:p>
              </w:tc>
              <w:tc>
                <w:tcPr/>
                <w:p>
                  <w:pPr>
                    <w:pStyle w:val="Compact"/>
                    <w:jc w:val="center"/>
                  </w:pPr>
                  <w:r>
                    <w:t xml:space="preserve">0.111</w:t>
                  </w:r>
                </w:p>
              </w:tc>
              <w:tc>
                <w:tcPr/>
                <w:p>
                  <w:pPr>
                    <w:pStyle w:val="Compact"/>
                    <w:jc w:val="center"/>
                  </w:pPr>
                  <w:r>
                    <w:t xml:space="preserve">1.783</w:t>
                  </w:r>
                </w:p>
              </w:tc>
              <w:tc>
                <w:tcPr/>
                <w:p>
                  <w:pPr>
                    <w:pStyle w:val="Compact"/>
                    <w:jc w:val="center"/>
                  </w:pPr>
                  <w:r>
                    <w:t xml:space="preserve">0.0746</w:t>
                  </w:r>
                </w:p>
              </w:tc>
              <w:tc>
                <w:tcPr/>
                <w:p>
                  <w:pPr>
                    <w:pStyle w:val="Compact"/>
                    <w:jc w:val="center"/>
                  </w:pPr>
                  <w:r>
                    <w:t xml:space="preserve">-0.020</w:t>
                  </w:r>
                </w:p>
              </w:tc>
              <w:tc>
                <w:tcPr/>
                <w:p>
                  <w:pPr>
                    <w:pStyle w:val="Compact"/>
                    <w:jc w:val="center"/>
                  </w:pPr>
                  <w:r>
                    <w:t xml:space="preserve">0.416</w:t>
                  </w:r>
                </w:p>
              </w:tc>
            </w:tr>
            <w:tr>
              <w:tc>
                <w:tcPr/>
                <w:p>
                  <w:pPr>
                    <w:pStyle w:val="Compact"/>
                    <w:jc w:val="center"/>
                  </w:pPr>
                  <w:r>
                    <w:t xml:space="preserve">Sex of the child</w:t>
                  </w:r>
                </w:p>
              </w:tc>
              <w:tc>
                <w:tcPr/>
                <w:p>
                  <w:pPr>
                    <w:pStyle w:val="Compact"/>
                    <w:jc w:val="center"/>
                  </w:pPr>
                  <w:r>
                    <w:t xml:space="preserve">0.242</w:t>
                  </w:r>
                </w:p>
              </w:tc>
              <w:tc>
                <w:tcPr/>
                <w:p>
                  <w:pPr>
                    <w:pStyle w:val="Compact"/>
                    <w:jc w:val="center"/>
                  </w:pPr>
                  <w:r>
                    <w:t xml:space="preserve">0.105</w:t>
                  </w:r>
                </w:p>
              </w:tc>
              <w:tc>
                <w:tcPr/>
                <w:p>
                  <w:pPr>
                    <w:pStyle w:val="Compact"/>
                    <w:jc w:val="center"/>
                  </w:pPr>
                  <w:r>
                    <w:t xml:space="preserve">2.294</w:t>
                  </w:r>
                </w:p>
              </w:tc>
              <w:tc>
                <w:tcPr/>
                <w:p>
                  <w:pPr>
                    <w:pStyle w:val="Compact"/>
                    <w:jc w:val="center"/>
                  </w:pPr>
                  <w:r>
                    <w:t xml:space="preserve">0.0218</w:t>
                  </w:r>
                </w:p>
              </w:tc>
              <w:tc>
                <w:tcPr/>
                <w:p>
                  <w:pPr>
                    <w:pStyle w:val="Compact"/>
                    <w:jc w:val="center"/>
                  </w:pPr>
                  <w:r>
                    <w:t xml:space="preserve">0.035</w:t>
                  </w:r>
                </w:p>
              </w:tc>
              <w:tc>
                <w:tcPr/>
                <w:p>
                  <w:pPr>
                    <w:pStyle w:val="Compact"/>
                    <w:jc w:val="center"/>
                  </w:pPr>
                  <w:r>
                    <w:t xml:space="preserve">0.449</w:t>
                  </w:r>
                </w:p>
              </w:tc>
            </w:tr>
            <w:tr>
              <w:tc>
                <w:tcPr/>
                <w:p>
                  <w:pPr>
                    <w:pStyle w:val="Compact"/>
                    <w:jc w:val="center"/>
                  </w:pPr>
                  <w:r>
                    <w:t xml:space="preserve">Birth order and interval: 2-4 short interval</w:t>
                  </w:r>
                </w:p>
              </w:tc>
              <w:tc>
                <w:tcPr/>
                <w:p>
                  <w:pPr>
                    <w:pStyle w:val="Compact"/>
                    <w:jc w:val="center"/>
                  </w:pPr>
                  <w:r>
                    <w:t xml:space="preserve">-0.004</w:t>
                  </w:r>
                </w:p>
              </w:tc>
              <w:tc>
                <w:tcPr/>
                <w:p>
                  <w:pPr>
                    <w:pStyle w:val="Compact"/>
                    <w:jc w:val="center"/>
                  </w:pPr>
                  <w:r>
                    <w:t xml:space="preserve">0.186</w:t>
                  </w:r>
                </w:p>
              </w:tc>
              <w:tc>
                <w:tcPr/>
                <w:p>
                  <w:pPr>
                    <w:pStyle w:val="Compact"/>
                    <w:jc w:val="center"/>
                  </w:pPr>
                  <w:r>
                    <w:t xml:space="preserve">-0.020</w:t>
                  </w:r>
                </w:p>
              </w:tc>
              <w:tc>
                <w:tcPr/>
                <w:p>
                  <w:pPr>
                    <w:pStyle w:val="Compact"/>
                    <w:jc w:val="center"/>
                  </w:pPr>
                  <w:r>
                    <w:t xml:space="preserve">0.9838</w:t>
                  </w:r>
                </w:p>
              </w:tc>
              <w:tc>
                <w:tcPr/>
                <w:p>
                  <w:pPr>
                    <w:pStyle w:val="Compact"/>
                    <w:jc w:val="center"/>
                  </w:pPr>
                  <w:r>
                    <w:t xml:space="preserve">-0.367</w:t>
                  </w:r>
                </w:p>
              </w:tc>
              <w:tc>
                <w:tcPr/>
                <w:p>
                  <w:pPr>
                    <w:pStyle w:val="Compact"/>
                    <w:jc w:val="center"/>
                  </w:pPr>
                  <w:r>
                    <w:t xml:space="preserve">0.360</w:t>
                  </w:r>
                </w:p>
              </w:tc>
            </w:tr>
            <w:tr>
              <w:tc>
                <w:tcPr/>
                <w:p>
                  <w:pPr>
                    <w:pStyle w:val="Compact"/>
                    <w:jc w:val="center"/>
                  </w:pPr>
                  <w:r>
                    <w:t xml:space="preserve">Birth order and interval: 2-4 long interval</w:t>
                  </w:r>
                </w:p>
              </w:tc>
              <w:tc>
                <w:tcPr/>
                <w:p>
                  <w:pPr>
                    <w:pStyle w:val="Compact"/>
                    <w:jc w:val="center"/>
                  </w:pPr>
                  <w:r>
                    <w:t xml:space="preserve">-0.509</w:t>
                  </w:r>
                </w:p>
              </w:tc>
              <w:tc>
                <w:tcPr/>
                <w:p>
                  <w:pPr>
                    <w:pStyle w:val="Compact"/>
                    <w:jc w:val="center"/>
                  </w:pPr>
                  <w:r>
                    <w:t xml:space="preserve">0.169</w:t>
                  </w:r>
                </w:p>
              </w:tc>
              <w:tc>
                <w:tcPr/>
                <w:p>
                  <w:pPr>
                    <w:pStyle w:val="Compact"/>
                    <w:jc w:val="center"/>
                  </w:pPr>
                  <w:r>
                    <w:t xml:space="preserve">-3.013</w:t>
                  </w:r>
                </w:p>
              </w:tc>
              <w:tc>
                <w:tcPr/>
                <w:p>
                  <w:pPr>
                    <w:pStyle w:val="Compact"/>
                    <w:jc w:val="center"/>
                  </w:pPr>
                  <w:r>
                    <w:t xml:space="preserve">0.0026</w:t>
                  </w:r>
                </w:p>
              </w:tc>
              <w:tc>
                <w:tcPr/>
                <w:p>
                  <w:pPr>
                    <w:pStyle w:val="Compact"/>
                    <w:jc w:val="center"/>
                  </w:pPr>
                  <w:r>
                    <w:t xml:space="preserve">-0.840</w:t>
                  </w:r>
                </w:p>
              </w:tc>
              <w:tc>
                <w:tcPr/>
                <w:p>
                  <w:pPr>
                    <w:pStyle w:val="Compact"/>
                    <w:jc w:val="center"/>
                  </w:pPr>
                  <w:r>
                    <w:t xml:space="preserve">-0.178</w:t>
                  </w:r>
                </w:p>
              </w:tc>
            </w:tr>
            <w:tr>
              <w:tc>
                <w:tcPr/>
                <w:p>
                  <w:pPr>
                    <w:pStyle w:val="Compact"/>
                    <w:jc w:val="center"/>
                  </w:pPr>
                  <w:r>
                    <w:t xml:space="preserve">Birth order and interval: 5+ short interval</w:t>
                  </w:r>
                </w:p>
              </w:tc>
              <w:tc>
                <w:tcPr/>
                <w:p>
                  <w:pPr>
                    <w:pStyle w:val="Compact"/>
                    <w:jc w:val="center"/>
                  </w:pPr>
                  <w:r>
                    <w:t xml:space="preserve">0.420</w:t>
                  </w:r>
                </w:p>
              </w:tc>
              <w:tc>
                <w:tcPr/>
                <w:p>
                  <w:pPr>
                    <w:pStyle w:val="Compact"/>
                    <w:jc w:val="center"/>
                  </w:pPr>
                  <w:r>
                    <w:t xml:space="preserve">0.210</w:t>
                  </w:r>
                </w:p>
              </w:tc>
              <w:tc>
                <w:tcPr/>
                <w:p>
                  <w:pPr>
                    <w:pStyle w:val="Compact"/>
                    <w:jc w:val="center"/>
                  </w:pPr>
                  <w:r>
                    <w:t xml:space="preserve">1.995</w:t>
                  </w:r>
                </w:p>
              </w:tc>
              <w:tc>
                <w:tcPr/>
                <w:p>
                  <w:pPr>
                    <w:pStyle w:val="Compact"/>
                    <w:jc w:val="center"/>
                  </w:pPr>
                  <w:r>
                    <w:t xml:space="preserve">0.0461</w:t>
                  </w:r>
                </w:p>
              </w:tc>
              <w:tc>
                <w:tcPr/>
                <w:p>
                  <w:pPr>
                    <w:pStyle w:val="Compact"/>
                    <w:jc w:val="center"/>
                  </w:pPr>
                  <w:r>
                    <w:t xml:space="preserve">0.007</w:t>
                  </w:r>
                </w:p>
              </w:tc>
              <w:tc>
                <w:tcPr/>
                <w:p>
                  <w:pPr>
                    <w:pStyle w:val="Compact"/>
                    <w:jc w:val="center"/>
                  </w:pPr>
                  <w:r>
                    <w:t xml:space="preserve">0.832</w:t>
                  </w:r>
                </w:p>
              </w:tc>
            </w:tr>
            <w:tr>
              <w:tc>
                <w:tcPr/>
                <w:p>
                  <w:pPr>
                    <w:pStyle w:val="Compact"/>
                    <w:jc w:val="center"/>
                  </w:pPr>
                  <w:r>
                    <w:t xml:space="preserve">Birth order and interval: 5+ long interval</w:t>
                  </w:r>
                </w:p>
              </w:tc>
              <w:tc>
                <w:tcPr/>
                <w:p>
                  <w:pPr>
                    <w:pStyle w:val="Compact"/>
                    <w:jc w:val="center"/>
                  </w:pPr>
                  <w:r>
                    <w:t xml:space="preserve">-0.396</w:t>
                  </w:r>
                </w:p>
              </w:tc>
              <w:tc>
                <w:tcPr/>
                <w:p>
                  <w:pPr>
                    <w:pStyle w:val="Compact"/>
                    <w:jc w:val="center"/>
                  </w:pPr>
                  <w:r>
                    <w:t xml:space="preserve">0.211</w:t>
                  </w:r>
                </w:p>
              </w:tc>
              <w:tc>
                <w:tcPr/>
                <w:p>
                  <w:pPr>
                    <w:pStyle w:val="Compact"/>
                    <w:jc w:val="center"/>
                  </w:pPr>
                  <w:r>
                    <w:t xml:space="preserve">-1.882</w:t>
                  </w:r>
                </w:p>
              </w:tc>
              <w:tc>
                <w:tcPr/>
                <w:p>
                  <w:pPr>
                    <w:pStyle w:val="Compact"/>
                    <w:jc w:val="center"/>
                  </w:pPr>
                  <w:r>
                    <w:t xml:space="preserve">0.0599</w:t>
                  </w:r>
                </w:p>
              </w:tc>
              <w:tc>
                <w:tcPr/>
                <w:p>
                  <w:pPr>
                    <w:pStyle w:val="Compact"/>
                    <w:jc w:val="center"/>
                  </w:pPr>
                  <w:r>
                    <w:t xml:space="preserve">-0.809</w:t>
                  </w:r>
                </w:p>
              </w:tc>
              <w:tc>
                <w:tcPr/>
                <w:p>
                  <w:pPr>
                    <w:pStyle w:val="Compact"/>
                    <w:jc w:val="center"/>
                  </w:pPr>
                  <w:r>
                    <w:t xml:space="preserve">0.017</w:t>
                  </w:r>
                </w:p>
              </w:tc>
            </w:tr>
            <w:tr>
              <w:tc>
                <w:tcPr/>
                <w:p>
                  <w:pPr>
                    <w:pStyle w:val="Compact"/>
                    <w:jc w:val="center"/>
                  </w:pPr>
                  <w:r>
                    <w:t xml:space="preserve">Mother’s age at birth</w:t>
                  </w:r>
                </w:p>
              </w:tc>
              <w:tc>
                <w:tcPr/>
                <w:p>
                  <w:pPr>
                    <w:pStyle w:val="Compact"/>
                    <w:jc w:val="center"/>
                  </w:pPr>
                  <w:r>
                    <w:t xml:space="preserve">0.033</w:t>
                  </w:r>
                </w:p>
              </w:tc>
              <w:tc>
                <w:tcPr/>
                <w:p>
                  <w:pPr>
                    <w:pStyle w:val="Compact"/>
                    <w:jc w:val="center"/>
                  </w:pPr>
                  <w:r>
                    <w:t xml:space="preserve">0.143</w:t>
                  </w:r>
                </w:p>
              </w:tc>
              <w:tc>
                <w:tcPr/>
                <w:p>
                  <w:pPr>
                    <w:pStyle w:val="Compact"/>
                    <w:jc w:val="center"/>
                  </w:pPr>
                  <w:r>
                    <w:t xml:space="preserve">0.229</w:t>
                  </w:r>
                </w:p>
              </w:tc>
              <w:tc>
                <w:tcPr/>
                <w:p>
                  <w:pPr>
                    <w:pStyle w:val="Compact"/>
                    <w:jc w:val="center"/>
                  </w:pPr>
                  <w:r>
                    <w:t xml:space="preserve">0.8186</w:t>
                  </w:r>
                </w:p>
              </w:tc>
              <w:tc>
                <w:tcPr/>
                <w:p>
                  <w:pPr>
                    <w:pStyle w:val="Compact"/>
                    <w:jc w:val="center"/>
                  </w:pPr>
                  <w:r>
                    <w:t xml:space="preserve">-0.247</w:t>
                  </w:r>
                </w:p>
              </w:tc>
              <w:tc>
                <w:tcPr/>
                <w:p>
                  <w:pPr>
                    <w:pStyle w:val="Compact"/>
                    <w:jc w:val="center"/>
                  </w:pPr>
                  <w:r>
                    <w:t xml:space="preserve">0.312</w:t>
                  </w:r>
                </w:p>
              </w:tc>
            </w:tr>
            <w:tr>
              <w:tc>
                <w:tcPr/>
                <w:p>
                  <w:pPr>
                    <w:pStyle w:val="Compact"/>
                    <w:jc w:val="center"/>
                  </w:pPr>
                  <w:r>
                    <w:t xml:space="preserve">Type of residence</w:t>
                  </w:r>
                </w:p>
              </w:tc>
              <w:tc>
                <w:tcPr/>
                <w:p>
                  <w:pPr>
                    <w:pStyle w:val="Compact"/>
                    <w:jc w:val="center"/>
                  </w:pPr>
                  <w:r>
                    <w:t xml:space="preserve">0.090</w:t>
                  </w:r>
                </w:p>
              </w:tc>
              <w:tc>
                <w:tcPr/>
                <w:p>
                  <w:pPr>
                    <w:pStyle w:val="Compact"/>
                    <w:jc w:val="center"/>
                  </w:pPr>
                  <w:r>
                    <w:t xml:space="preserve">0.154</w:t>
                  </w:r>
                </w:p>
              </w:tc>
              <w:tc>
                <w:tcPr/>
                <w:p>
                  <w:pPr>
                    <w:pStyle w:val="Compact"/>
                    <w:jc w:val="center"/>
                  </w:pPr>
                  <w:r>
                    <w:t xml:space="preserve">0.584</w:t>
                  </w:r>
                </w:p>
              </w:tc>
              <w:tc>
                <w:tcPr/>
                <w:p>
                  <w:pPr>
                    <w:pStyle w:val="Compact"/>
                    <w:jc w:val="center"/>
                  </w:pPr>
                  <w:r>
                    <w:t xml:space="preserve">0.5591</w:t>
                  </w:r>
                </w:p>
              </w:tc>
              <w:tc>
                <w:tcPr/>
                <w:p>
                  <w:pPr>
                    <w:pStyle w:val="Compact"/>
                    <w:jc w:val="center"/>
                  </w:pPr>
                  <w:r>
                    <w:t xml:space="preserve">-0.212</w:t>
                  </w:r>
                </w:p>
              </w:tc>
              <w:tc>
                <w:tcPr/>
                <w:p>
                  <w:pPr>
                    <w:pStyle w:val="Compact"/>
                    <w:jc w:val="center"/>
                  </w:pPr>
                  <w:r>
                    <w:t xml:space="preserve">0.392</w:t>
                  </w:r>
                </w:p>
              </w:tc>
            </w:tr>
            <w:tr>
              <w:tc>
                <w:tcPr/>
                <w:p>
                  <w:pPr>
                    <w:pStyle w:val="Compact"/>
                    <w:jc w:val="center"/>
                  </w:pPr>
                  <w:r>
                    <w:t xml:space="preserve">Mother’s education</w:t>
                  </w:r>
                </w:p>
              </w:tc>
              <w:tc>
                <w:tcPr/>
                <w:p>
                  <w:pPr>
                    <w:pStyle w:val="Compact"/>
                    <w:jc w:val="center"/>
                  </w:pPr>
                  <w:r>
                    <w:t xml:space="preserve">0.336</w:t>
                  </w:r>
                </w:p>
              </w:tc>
              <w:tc>
                <w:tcPr/>
                <w:p>
                  <w:pPr>
                    <w:pStyle w:val="Compact"/>
                    <w:jc w:val="center"/>
                  </w:pPr>
                  <w:r>
                    <w:t xml:space="preserve">0.132</w:t>
                  </w:r>
                </w:p>
              </w:tc>
              <w:tc>
                <w:tcPr/>
                <w:p>
                  <w:pPr>
                    <w:pStyle w:val="Compact"/>
                    <w:jc w:val="center"/>
                  </w:pPr>
                  <w:r>
                    <w:t xml:space="preserve">2.555</w:t>
                  </w:r>
                </w:p>
              </w:tc>
              <w:tc>
                <w:tcPr/>
                <w:p>
                  <w:pPr>
                    <w:pStyle w:val="Compact"/>
                    <w:jc w:val="center"/>
                  </w:pPr>
                  <w:r>
                    <w:t xml:space="preserve">0.0106</w:t>
                  </w:r>
                </w:p>
              </w:tc>
              <w:tc>
                <w:tcPr/>
                <w:p>
                  <w:pPr>
                    <w:pStyle w:val="Compact"/>
                    <w:jc w:val="center"/>
                  </w:pPr>
                  <w:r>
                    <w:t xml:space="preserve">0.078</w:t>
                  </w:r>
                </w:p>
              </w:tc>
              <w:tc>
                <w:tcPr/>
                <w:p>
                  <w:pPr>
                    <w:pStyle w:val="Compact"/>
                    <w:jc w:val="center"/>
                  </w:pPr>
                  <w:r>
                    <w:t xml:space="preserve">0.594</w:t>
                  </w:r>
                </w:p>
              </w:tc>
            </w:tr>
            <w:tr>
              <w:tc>
                <w:tcPr/>
                <w:p>
                  <w:pPr>
                    <w:pStyle w:val="Compact"/>
                    <w:jc w:val="center"/>
                  </w:pPr>
                  <w:r>
                    <w:t xml:space="preserve">Father’s education</w:t>
                  </w:r>
                </w:p>
              </w:tc>
              <w:tc>
                <w:tcPr/>
                <w:p>
                  <w:pPr>
                    <w:pStyle w:val="Compact"/>
                    <w:jc w:val="center"/>
                  </w:pPr>
                  <w:r>
                    <w:t xml:space="preserve">-0.036</w:t>
                  </w:r>
                </w:p>
              </w:tc>
              <w:tc>
                <w:tcPr/>
                <w:p>
                  <w:pPr>
                    <w:pStyle w:val="Compact"/>
                    <w:jc w:val="center"/>
                  </w:pPr>
                  <w:r>
                    <w:t xml:space="preserve">0.128</w:t>
                  </w:r>
                </w:p>
              </w:tc>
              <w:tc>
                <w:tcPr/>
                <w:p>
                  <w:pPr>
                    <w:pStyle w:val="Compact"/>
                    <w:jc w:val="center"/>
                  </w:pPr>
                  <w:r>
                    <w:t xml:space="preserve">-0.280</w:t>
                  </w:r>
                </w:p>
              </w:tc>
              <w:tc>
                <w:tcPr/>
                <w:p>
                  <w:pPr>
                    <w:pStyle w:val="Compact"/>
                    <w:jc w:val="center"/>
                  </w:pPr>
                  <w:r>
                    <w:t xml:space="preserve">0.7798</w:t>
                  </w:r>
                </w:p>
              </w:tc>
              <w:tc>
                <w:tcPr/>
                <w:p>
                  <w:pPr>
                    <w:pStyle w:val="Compact"/>
                    <w:jc w:val="center"/>
                  </w:pPr>
                  <w:r>
                    <w:t xml:space="preserve">-0.286</w:t>
                  </w:r>
                </w:p>
              </w:tc>
              <w:tc>
                <w:tcPr/>
                <w:p>
                  <w:pPr>
                    <w:pStyle w:val="Compact"/>
                    <w:jc w:val="center"/>
                  </w:pPr>
                  <w:r>
                    <w:t xml:space="preserve">0.214</w:t>
                  </w:r>
                </w:p>
              </w:tc>
            </w:tr>
            <w:tr>
              <w:tc>
                <w:tcPr/>
                <w:p>
                  <w:pPr>
                    <w:pStyle w:val="Compact"/>
                    <w:jc w:val="center"/>
                  </w:pPr>
                  <w:r>
                    <w:t xml:space="preserve">Mother’s occupation: Household, unskilled, not working</w:t>
                  </w:r>
                </w:p>
              </w:tc>
              <w:tc>
                <w:tcPr/>
                <w:p>
                  <w:pPr>
                    <w:pStyle w:val="Compact"/>
                    <w:jc w:val="center"/>
                  </w:pPr>
                  <w:r>
                    <w:t xml:space="preserve">-0.018</w:t>
                  </w:r>
                </w:p>
              </w:tc>
              <w:tc>
                <w:tcPr/>
                <w:p>
                  <w:pPr>
                    <w:pStyle w:val="Compact"/>
                    <w:jc w:val="center"/>
                  </w:pPr>
                  <w:r>
                    <w:t xml:space="preserve">0.155</w:t>
                  </w:r>
                </w:p>
              </w:tc>
              <w:tc>
                <w:tcPr/>
                <w:p>
                  <w:pPr>
                    <w:pStyle w:val="Compact"/>
                    <w:jc w:val="center"/>
                  </w:pPr>
                  <w:r>
                    <w:t xml:space="preserve">-0.114</w:t>
                  </w:r>
                </w:p>
              </w:tc>
              <w:tc>
                <w:tcPr/>
                <w:p>
                  <w:pPr>
                    <w:pStyle w:val="Compact"/>
                    <w:jc w:val="center"/>
                  </w:pPr>
                  <w:r>
                    <w:t xml:space="preserve">0.9093</w:t>
                  </w:r>
                </w:p>
              </w:tc>
              <w:tc>
                <w:tcPr/>
                <w:p>
                  <w:pPr>
                    <w:pStyle w:val="Compact"/>
                    <w:jc w:val="center"/>
                  </w:pPr>
                  <w:r>
                    <w:t xml:space="preserve">-0.322</w:t>
                  </w:r>
                </w:p>
              </w:tc>
              <w:tc>
                <w:tcPr/>
                <w:p>
                  <w:pPr>
                    <w:pStyle w:val="Compact"/>
                    <w:jc w:val="center"/>
                  </w:pPr>
                  <w:r>
                    <w:t xml:space="preserve">0.287</w:t>
                  </w:r>
                </w:p>
              </w:tc>
            </w:tr>
            <w:tr>
              <w:tc>
                <w:tcPr/>
                <w:p>
                  <w:pPr>
                    <w:pStyle w:val="Compact"/>
                    <w:jc w:val="center"/>
                  </w:pPr>
                  <w:r>
                    <w:t xml:space="preserve">Mother’s occupation: Agriculture</w:t>
                  </w:r>
                </w:p>
              </w:tc>
              <w:tc>
                <w:tcPr/>
                <w:p>
                  <w:pPr>
                    <w:pStyle w:val="Compact"/>
                    <w:jc w:val="center"/>
                  </w:pPr>
                  <w:r>
                    <w:t xml:space="preserve">0.140</w:t>
                  </w:r>
                </w:p>
              </w:tc>
              <w:tc>
                <w:tcPr/>
                <w:p>
                  <w:pPr>
                    <w:pStyle w:val="Compact"/>
                    <w:jc w:val="center"/>
                  </w:pPr>
                  <w:r>
                    <w:t xml:space="preserve">0.163</w:t>
                  </w:r>
                </w:p>
              </w:tc>
              <w:tc>
                <w:tcPr/>
                <w:p>
                  <w:pPr>
                    <w:pStyle w:val="Compact"/>
                    <w:jc w:val="center"/>
                  </w:pPr>
                  <w:r>
                    <w:t xml:space="preserve">0.861</w:t>
                  </w:r>
                </w:p>
              </w:tc>
              <w:tc>
                <w:tcPr/>
                <w:p>
                  <w:pPr>
                    <w:pStyle w:val="Compact"/>
                    <w:jc w:val="center"/>
                  </w:pPr>
                  <w:r>
                    <w:t xml:space="preserve">0.3895</w:t>
                  </w:r>
                </w:p>
              </w:tc>
              <w:tc>
                <w:tcPr/>
                <w:p>
                  <w:pPr>
                    <w:pStyle w:val="Compact"/>
                    <w:jc w:val="center"/>
                  </w:pPr>
                  <w:r>
                    <w:t xml:space="preserve">-0.180</w:t>
                  </w:r>
                </w:p>
              </w:tc>
              <w:tc>
                <w:tcPr/>
                <w:p>
                  <w:pPr>
                    <w:pStyle w:val="Compact"/>
                    <w:jc w:val="center"/>
                  </w:pPr>
                  <w:r>
                    <w:t xml:space="preserve">0.460</w:t>
                  </w:r>
                </w:p>
              </w:tc>
            </w:tr>
            <w:tr>
              <w:tc>
                <w:tcPr/>
                <w:p>
                  <w:pPr>
                    <w:pStyle w:val="Compact"/>
                    <w:jc w:val="center"/>
                  </w:pPr>
                  <w:r>
                    <w:t xml:space="preserve">Father’s occupation: Household, unskilled, not working</w:t>
                  </w:r>
                </w:p>
              </w:tc>
              <w:tc>
                <w:tcPr/>
                <w:p>
                  <w:pPr>
                    <w:pStyle w:val="Compact"/>
                    <w:jc w:val="center"/>
                  </w:pPr>
                  <w:r>
                    <w:t xml:space="preserve">0.235</w:t>
                  </w:r>
                </w:p>
              </w:tc>
              <w:tc>
                <w:tcPr/>
                <w:p>
                  <w:pPr>
                    <w:pStyle w:val="Compact"/>
                    <w:jc w:val="center"/>
                  </w:pPr>
                  <w:r>
                    <w:t xml:space="preserve">0.162</w:t>
                  </w:r>
                </w:p>
              </w:tc>
              <w:tc>
                <w:tcPr/>
                <w:p>
                  <w:pPr>
                    <w:pStyle w:val="Compact"/>
                    <w:jc w:val="center"/>
                  </w:pPr>
                  <w:r>
                    <w:t xml:space="preserve">1.450</w:t>
                  </w:r>
                </w:p>
              </w:tc>
              <w:tc>
                <w:tcPr/>
                <w:p>
                  <w:pPr>
                    <w:pStyle w:val="Compact"/>
                    <w:jc w:val="center"/>
                  </w:pPr>
                  <w:r>
                    <w:t xml:space="preserve">0.1472</w:t>
                  </w:r>
                </w:p>
              </w:tc>
              <w:tc>
                <w:tcPr/>
                <w:p>
                  <w:pPr>
                    <w:pStyle w:val="Compact"/>
                    <w:jc w:val="center"/>
                  </w:pPr>
                  <w:r>
                    <w:t xml:space="preserve">-0.083</w:t>
                  </w:r>
                </w:p>
              </w:tc>
              <w:tc>
                <w:tcPr/>
                <w:p>
                  <w:pPr>
                    <w:pStyle w:val="Compact"/>
                    <w:jc w:val="center"/>
                  </w:pPr>
                  <w:r>
                    <w:t xml:space="preserve">0.554</w:t>
                  </w:r>
                </w:p>
              </w:tc>
            </w:tr>
            <w:tr>
              <w:tc>
                <w:tcPr/>
                <w:p>
                  <w:pPr>
                    <w:pStyle w:val="Compact"/>
                    <w:jc w:val="center"/>
                  </w:pPr>
                  <w:r>
                    <w:t xml:space="preserve">Father’s occupation: Agriculture</w:t>
                  </w:r>
                </w:p>
              </w:tc>
              <w:tc>
                <w:tcPr/>
                <w:p>
                  <w:pPr>
                    <w:pStyle w:val="Compact"/>
                    <w:jc w:val="center"/>
                  </w:pPr>
                  <w:r>
                    <w:t xml:space="preserve">0.225</w:t>
                  </w:r>
                </w:p>
              </w:tc>
              <w:tc>
                <w:tcPr/>
                <w:p>
                  <w:pPr>
                    <w:pStyle w:val="Compact"/>
                    <w:jc w:val="center"/>
                  </w:pPr>
                  <w:r>
                    <w:t xml:space="preserve">0.149</w:t>
                  </w:r>
                </w:p>
              </w:tc>
              <w:tc>
                <w:tcPr/>
                <w:p>
                  <w:pPr>
                    <w:pStyle w:val="Compact"/>
                    <w:jc w:val="center"/>
                  </w:pPr>
                  <w:r>
                    <w:t xml:space="preserve">1.509</w:t>
                  </w:r>
                </w:p>
              </w:tc>
              <w:tc>
                <w:tcPr/>
                <w:p>
                  <w:pPr>
                    <w:pStyle w:val="Compact"/>
                    <w:jc w:val="center"/>
                  </w:pPr>
                  <w:r>
                    <w:t xml:space="preserve">0.1314</w:t>
                  </w:r>
                </w:p>
              </w:tc>
              <w:tc>
                <w:tcPr/>
                <w:p>
                  <w:pPr>
                    <w:pStyle w:val="Compact"/>
                    <w:jc w:val="center"/>
                  </w:pPr>
                  <w:r>
                    <w:t xml:space="preserve">-0.067</w:t>
                  </w:r>
                </w:p>
              </w:tc>
              <w:tc>
                <w:tcPr/>
                <w:p>
                  <w:pPr>
                    <w:pStyle w:val="Compact"/>
                    <w:jc w:val="center"/>
                  </w:pPr>
                  <w:r>
                    <w:t xml:space="preserve">0.517</w:t>
                  </w:r>
                </w:p>
              </w:tc>
            </w:tr>
            <w:tr>
              <w:tc>
                <w:tcPr/>
                <w:p>
                  <w:pPr>
                    <w:pStyle w:val="Compact"/>
                    <w:jc w:val="center"/>
                  </w:pPr>
                  <w:r>
                    <w:t xml:space="preserve">Region: Bas-Congo</w:t>
                  </w:r>
                </w:p>
              </w:tc>
              <w:tc>
                <w:tcPr/>
                <w:p>
                  <w:pPr>
                    <w:pStyle w:val="Compact"/>
                    <w:jc w:val="center"/>
                  </w:pPr>
                  <w:r>
                    <w:t xml:space="preserve">0.258</w:t>
                  </w:r>
                </w:p>
              </w:tc>
              <w:tc>
                <w:tcPr/>
                <w:p>
                  <w:pPr>
                    <w:pStyle w:val="Compact"/>
                    <w:jc w:val="center"/>
                  </w:pPr>
                  <w:r>
                    <w:t xml:space="preserve">0.243</w:t>
                  </w:r>
                </w:p>
              </w:tc>
              <w:tc>
                <w:tcPr/>
                <w:p>
                  <w:pPr>
                    <w:pStyle w:val="Compact"/>
                    <w:jc w:val="center"/>
                  </w:pPr>
                  <w:r>
                    <w:t xml:space="preserve">1.062</w:t>
                  </w:r>
                </w:p>
              </w:tc>
              <w:tc>
                <w:tcPr/>
                <w:p>
                  <w:pPr>
                    <w:pStyle w:val="Compact"/>
                    <w:jc w:val="center"/>
                  </w:pPr>
                  <w:r>
                    <w:t xml:space="preserve">0.2883</w:t>
                  </w:r>
                </w:p>
              </w:tc>
              <w:tc>
                <w:tcPr/>
                <w:p>
                  <w:pPr>
                    <w:pStyle w:val="Compact"/>
                    <w:jc w:val="center"/>
                  </w:pPr>
                  <w:r>
                    <w:t xml:space="preserve">-0.218</w:t>
                  </w:r>
                </w:p>
              </w:tc>
              <w:tc>
                <w:tcPr/>
                <w:p>
                  <w:pPr>
                    <w:pStyle w:val="Compact"/>
                    <w:jc w:val="center"/>
                  </w:pPr>
                  <w:r>
                    <w:t xml:space="preserve">0.734</w:t>
                  </w:r>
                </w:p>
              </w:tc>
            </w:tr>
            <w:tr>
              <w:tc>
                <w:tcPr/>
                <w:p>
                  <w:pPr>
                    <w:pStyle w:val="Compact"/>
                    <w:jc w:val="center"/>
                  </w:pPr>
                  <w:r>
                    <w:t xml:space="preserve">Region: Equateur</w:t>
                  </w:r>
                </w:p>
              </w:tc>
              <w:tc>
                <w:tcPr/>
                <w:p>
                  <w:pPr>
                    <w:pStyle w:val="Compact"/>
                    <w:jc w:val="center"/>
                  </w:pPr>
                  <w:r>
                    <w:t xml:space="preserve">0.250</w:t>
                  </w:r>
                </w:p>
              </w:tc>
              <w:tc>
                <w:tcPr/>
                <w:p>
                  <w:pPr>
                    <w:pStyle w:val="Compact"/>
                    <w:jc w:val="center"/>
                  </w:pPr>
                  <w:r>
                    <w:t xml:space="preserve">0.238</w:t>
                  </w:r>
                </w:p>
              </w:tc>
              <w:tc>
                <w:tcPr/>
                <w:p>
                  <w:pPr>
                    <w:pStyle w:val="Compact"/>
                    <w:jc w:val="center"/>
                  </w:pPr>
                  <w:r>
                    <w:t xml:space="preserve">1.051</w:t>
                  </w:r>
                </w:p>
              </w:tc>
              <w:tc>
                <w:tcPr/>
                <w:p>
                  <w:pPr>
                    <w:pStyle w:val="Compact"/>
                    <w:jc w:val="center"/>
                  </w:pPr>
                  <w:r>
                    <w:t xml:space="preserve">0.2934</w:t>
                  </w:r>
                </w:p>
              </w:tc>
              <w:tc>
                <w:tcPr/>
                <w:p>
                  <w:pPr>
                    <w:pStyle w:val="Compact"/>
                    <w:jc w:val="center"/>
                  </w:pPr>
                  <w:r>
                    <w:t xml:space="preserve">-0.216</w:t>
                  </w:r>
                </w:p>
              </w:tc>
              <w:tc>
                <w:tcPr/>
                <w:p>
                  <w:pPr>
                    <w:pStyle w:val="Compact"/>
                    <w:jc w:val="center"/>
                  </w:pPr>
                  <w:r>
                    <w:t xml:space="preserve">0.715</w:t>
                  </w:r>
                </w:p>
              </w:tc>
            </w:tr>
            <w:tr>
              <w:tc>
                <w:tcPr/>
                <w:p>
                  <w:pPr>
                    <w:pStyle w:val="Compact"/>
                    <w:jc w:val="center"/>
                  </w:pPr>
                  <w:r>
                    <w:t xml:space="preserve">Region: Kasai Occidental</w:t>
                  </w:r>
                </w:p>
              </w:tc>
              <w:tc>
                <w:tcPr/>
                <w:p>
                  <w:pPr>
                    <w:pStyle w:val="Compact"/>
                    <w:jc w:val="center"/>
                  </w:pPr>
                  <w:r>
                    <w:t xml:space="preserve">0.105</w:t>
                  </w:r>
                </w:p>
              </w:tc>
              <w:tc>
                <w:tcPr/>
                <w:p>
                  <w:pPr>
                    <w:pStyle w:val="Compact"/>
                    <w:jc w:val="center"/>
                  </w:pPr>
                  <w:r>
                    <w:t xml:space="preserve">0.228</w:t>
                  </w:r>
                </w:p>
              </w:tc>
              <w:tc>
                <w:tcPr/>
                <w:p>
                  <w:pPr>
                    <w:pStyle w:val="Compact"/>
                    <w:jc w:val="center"/>
                  </w:pPr>
                  <w:r>
                    <w:t xml:space="preserve">0.460</w:t>
                  </w:r>
                </w:p>
              </w:tc>
              <w:tc>
                <w:tcPr/>
                <w:p>
                  <w:pPr>
                    <w:pStyle w:val="Compact"/>
                    <w:jc w:val="center"/>
                  </w:pPr>
                  <w:r>
                    <w:t xml:space="preserve">0.6452</w:t>
                  </w:r>
                </w:p>
              </w:tc>
              <w:tc>
                <w:tcPr/>
                <w:p>
                  <w:pPr>
                    <w:pStyle w:val="Compact"/>
                    <w:jc w:val="center"/>
                  </w:pPr>
                  <w:r>
                    <w:t xml:space="preserve">-0.342</w:t>
                  </w:r>
                </w:p>
              </w:tc>
              <w:tc>
                <w:tcPr/>
                <w:p>
                  <w:pPr>
                    <w:pStyle w:val="Compact"/>
                    <w:jc w:val="center"/>
                  </w:pPr>
                  <w:r>
                    <w:t xml:space="preserve">0.553</w:t>
                  </w:r>
                </w:p>
              </w:tc>
            </w:tr>
            <w:tr>
              <w:tc>
                <w:tcPr/>
                <w:p>
                  <w:pPr>
                    <w:pStyle w:val="Compact"/>
                    <w:jc w:val="center"/>
                  </w:pPr>
                  <w:r>
                    <w:t xml:space="preserve">Region: Kasai Oriental</w:t>
                  </w:r>
                </w:p>
              </w:tc>
              <w:tc>
                <w:tcPr/>
                <w:p>
                  <w:pPr>
                    <w:pStyle w:val="Compact"/>
                    <w:jc w:val="center"/>
                  </w:pPr>
                  <w:r>
                    <w:t xml:space="preserve">0.153</w:t>
                  </w:r>
                </w:p>
              </w:tc>
              <w:tc>
                <w:tcPr/>
                <w:p>
                  <w:pPr>
                    <w:pStyle w:val="Compact"/>
                    <w:jc w:val="center"/>
                  </w:pPr>
                  <w:r>
                    <w:t xml:space="preserve">0.240</w:t>
                  </w:r>
                </w:p>
              </w:tc>
              <w:tc>
                <w:tcPr/>
                <w:p>
                  <w:pPr>
                    <w:pStyle w:val="Compact"/>
                    <w:jc w:val="center"/>
                  </w:pPr>
                  <w:r>
                    <w:t xml:space="preserve">0.635</w:t>
                  </w:r>
                </w:p>
              </w:tc>
              <w:tc>
                <w:tcPr/>
                <w:p>
                  <w:pPr>
                    <w:pStyle w:val="Compact"/>
                    <w:jc w:val="center"/>
                  </w:pPr>
                  <w:r>
                    <w:t xml:space="preserve">0.5251</w:t>
                  </w:r>
                </w:p>
              </w:tc>
              <w:tc>
                <w:tcPr/>
                <w:p>
                  <w:pPr>
                    <w:pStyle w:val="Compact"/>
                    <w:jc w:val="center"/>
                  </w:pPr>
                  <w:r>
                    <w:t xml:space="preserve">-0.318</w:t>
                  </w:r>
                </w:p>
              </w:tc>
              <w:tc>
                <w:tcPr/>
                <w:p>
                  <w:pPr>
                    <w:pStyle w:val="Compact"/>
                    <w:jc w:val="center"/>
                  </w:pPr>
                  <w:r>
                    <w:t xml:space="preserve">0.624</w:t>
                  </w:r>
                </w:p>
              </w:tc>
            </w:tr>
            <w:tr>
              <w:tc>
                <w:tcPr/>
                <w:p>
                  <w:pPr>
                    <w:pStyle w:val="Compact"/>
                    <w:jc w:val="center"/>
                  </w:pPr>
                  <w:r>
                    <w:t xml:space="preserve">Region: Katanga</w:t>
                  </w:r>
                </w:p>
              </w:tc>
              <w:tc>
                <w:tcPr/>
                <w:p>
                  <w:pPr>
                    <w:pStyle w:val="Compact"/>
                    <w:jc w:val="center"/>
                  </w:pPr>
                  <w:r>
                    <w:t xml:space="preserve">0.515</w:t>
                  </w:r>
                </w:p>
              </w:tc>
              <w:tc>
                <w:tcPr/>
                <w:p>
                  <w:pPr>
                    <w:pStyle w:val="Compact"/>
                    <w:jc w:val="center"/>
                  </w:pPr>
                  <w:r>
                    <w:t xml:space="preserve">0.228</w:t>
                  </w:r>
                </w:p>
              </w:tc>
              <w:tc>
                <w:tcPr/>
                <w:p>
                  <w:pPr>
                    <w:pStyle w:val="Compact"/>
                    <w:jc w:val="center"/>
                  </w:pPr>
                  <w:r>
                    <w:t xml:space="preserve">2.258</w:t>
                  </w:r>
                </w:p>
              </w:tc>
              <w:tc>
                <w:tcPr/>
                <w:p>
                  <w:pPr>
                    <w:pStyle w:val="Compact"/>
                    <w:jc w:val="center"/>
                  </w:pPr>
                  <w:r>
                    <w:t xml:space="preserve">0.0240</w:t>
                  </w:r>
                </w:p>
              </w:tc>
              <w:tc>
                <w:tcPr/>
                <w:p>
                  <w:pPr>
                    <w:pStyle w:val="Compact"/>
                    <w:jc w:val="center"/>
                  </w:pPr>
                  <w:r>
                    <w:t xml:space="preserve">0.068</w:t>
                  </w:r>
                </w:p>
              </w:tc>
              <w:tc>
                <w:tcPr/>
                <w:p>
                  <w:pPr>
                    <w:pStyle w:val="Compact"/>
                    <w:jc w:val="center"/>
                  </w:pPr>
                  <w:r>
                    <w:t xml:space="preserve">0.962</w:t>
                  </w:r>
                </w:p>
              </w:tc>
            </w:tr>
            <w:tr>
              <w:tc>
                <w:tcPr/>
                <w:p>
                  <w:pPr>
                    <w:pStyle w:val="Compact"/>
                    <w:jc w:val="center"/>
                  </w:pPr>
                  <w:r>
                    <w:t xml:space="preserve">Region: Kinshasa</w:t>
                  </w:r>
                </w:p>
              </w:tc>
              <w:tc>
                <w:tcPr/>
                <w:p>
                  <w:pPr>
                    <w:pStyle w:val="Compact"/>
                    <w:jc w:val="center"/>
                  </w:pPr>
                  <w:r>
                    <w:t xml:space="preserve">0.081</w:t>
                  </w:r>
                </w:p>
              </w:tc>
              <w:tc>
                <w:tcPr/>
                <w:p>
                  <w:pPr>
                    <w:pStyle w:val="Compact"/>
                    <w:jc w:val="center"/>
                  </w:pPr>
                  <w:r>
                    <w:t xml:space="preserve">0.262</w:t>
                  </w:r>
                </w:p>
              </w:tc>
              <w:tc>
                <w:tcPr/>
                <w:p>
                  <w:pPr>
                    <w:pStyle w:val="Compact"/>
                    <w:jc w:val="center"/>
                  </w:pPr>
                  <w:r>
                    <w:t xml:space="preserve">0.310</w:t>
                  </w:r>
                </w:p>
              </w:tc>
              <w:tc>
                <w:tcPr/>
                <w:p>
                  <w:pPr>
                    <w:pStyle w:val="Compact"/>
                    <w:jc w:val="center"/>
                  </w:pPr>
                  <w:r>
                    <w:t xml:space="preserve">0.7564</w:t>
                  </w:r>
                </w:p>
              </w:tc>
              <w:tc>
                <w:tcPr/>
                <w:p>
                  <w:pPr>
                    <w:pStyle w:val="Compact"/>
                    <w:jc w:val="center"/>
                  </w:pPr>
                  <w:r>
                    <w:t xml:space="preserve">-0.433</w:t>
                  </w:r>
                </w:p>
              </w:tc>
              <w:tc>
                <w:tcPr/>
                <w:p>
                  <w:pPr>
                    <w:pStyle w:val="Compact"/>
                    <w:jc w:val="center"/>
                  </w:pPr>
                  <w:r>
                    <w:t xml:space="preserve">0.596</w:t>
                  </w:r>
                </w:p>
              </w:tc>
            </w:tr>
            <w:tr>
              <w:tc>
                <w:tcPr/>
                <w:p>
                  <w:pPr>
                    <w:pStyle w:val="Compact"/>
                    <w:jc w:val="center"/>
                  </w:pPr>
                  <w:r>
                    <w:t xml:space="preserve">Region: Maniema</w:t>
                  </w:r>
                </w:p>
              </w:tc>
              <w:tc>
                <w:tcPr/>
                <w:p>
                  <w:pPr>
                    <w:pStyle w:val="Compact"/>
                    <w:jc w:val="center"/>
                  </w:pPr>
                  <w:r>
                    <w:t xml:space="preserve">0.489</w:t>
                  </w:r>
                </w:p>
              </w:tc>
              <w:tc>
                <w:tcPr/>
                <w:p>
                  <w:pPr>
                    <w:pStyle w:val="Compact"/>
                    <w:jc w:val="center"/>
                  </w:pPr>
                  <w:r>
                    <w:t xml:space="preserve">0.224</w:t>
                  </w:r>
                </w:p>
              </w:tc>
              <w:tc>
                <w:tcPr/>
                <w:p>
                  <w:pPr>
                    <w:pStyle w:val="Compact"/>
                    <w:jc w:val="center"/>
                  </w:pPr>
                  <w:r>
                    <w:t xml:space="preserve">2.178</w:t>
                  </w:r>
                </w:p>
              </w:tc>
              <w:tc>
                <w:tcPr/>
                <w:p>
                  <w:pPr>
                    <w:pStyle w:val="Compact"/>
                    <w:jc w:val="center"/>
                  </w:pPr>
                  <w:r>
                    <w:t xml:space="preserve">0.0294</w:t>
                  </w:r>
                </w:p>
              </w:tc>
              <w:tc>
                <w:tcPr/>
                <w:p>
                  <w:pPr>
                    <w:pStyle w:val="Compact"/>
                    <w:jc w:val="center"/>
                  </w:pPr>
                  <w:r>
                    <w:t xml:space="preserve">0.049</w:t>
                  </w:r>
                </w:p>
              </w:tc>
              <w:tc>
                <w:tcPr/>
                <w:p>
                  <w:pPr>
                    <w:pStyle w:val="Compact"/>
                    <w:jc w:val="center"/>
                  </w:pPr>
                  <w:r>
                    <w:t xml:space="preserve">0.929</w:t>
                  </w:r>
                </w:p>
              </w:tc>
            </w:tr>
            <w:tr>
              <w:tc>
                <w:tcPr/>
                <w:p>
                  <w:pPr>
                    <w:pStyle w:val="Compact"/>
                    <w:jc w:val="center"/>
                  </w:pPr>
                  <w:r>
                    <w:t xml:space="preserve">Region: Nord-Kivu</w:t>
                  </w:r>
                </w:p>
              </w:tc>
              <w:tc>
                <w:tcPr/>
                <w:p>
                  <w:pPr>
                    <w:pStyle w:val="Compact"/>
                    <w:jc w:val="center"/>
                  </w:pPr>
                  <w:r>
                    <w:t xml:space="preserve">-0.252</w:t>
                  </w:r>
                </w:p>
              </w:tc>
              <w:tc>
                <w:tcPr/>
                <w:p>
                  <w:pPr>
                    <w:pStyle w:val="Compact"/>
                    <w:jc w:val="center"/>
                  </w:pPr>
                  <w:r>
                    <w:t xml:space="preserve">0.294</w:t>
                  </w:r>
                </w:p>
              </w:tc>
              <w:tc>
                <w:tcPr/>
                <w:p>
                  <w:pPr>
                    <w:pStyle w:val="Compact"/>
                    <w:jc w:val="center"/>
                  </w:pPr>
                  <w:r>
                    <w:t xml:space="preserve">-0.857</w:t>
                  </w:r>
                </w:p>
              </w:tc>
              <w:tc>
                <w:tcPr/>
                <w:p>
                  <w:pPr>
                    <w:pStyle w:val="Compact"/>
                    <w:jc w:val="center"/>
                  </w:pPr>
                  <w:r>
                    <w:t xml:space="preserve">0.3915</w:t>
                  </w:r>
                </w:p>
              </w:tc>
              <w:tc>
                <w:tcPr/>
                <w:p>
                  <w:pPr>
                    <w:pStyle w:val="Compact"/>
                    <w:jc w:val="center"/>
                  </w:pPr>
                  <w:r>
                    <w:t xml:space="preserve">-0.827</w:t>
                  </w:r>
                </w:p>
              </w:tc>
              <w:tc>
                <w:tcPr/>
                <w:p>
                  <w:pPr>
                    <w:pStyle w:val="Compact"/>
                    <w:jc w:val="center"/>
                  </w:pPr>
                  <w:r>
                    <w:t xml:space="preserve">0.324</w:t>
                  </w:r>
                </w:p>
              </w:tc>
            </w:tr>
            <w:tr>
              <w:tc>
                <w:tcPr/>
                <w:p>
                  <w:pPr>
                    <w:pStyle w:val="Compact"/>
                    <w:jc w:val="center"/>
                  </w:pPr>
                  <w:r>
                    <w:t xml:space="preserve">Region: Orientale</w:t>
                  </w:r>
                </w:p>
              </w:tc>
              <w:tc>
                <w:tcPr/>
                <w:p>
                  <w:pPr>
                    <w:pStyle w:val="Compact"/>
                    <w:jc w:val="center"/>
                  </w:pPr>
                  <w:r>
                    <w:t xml:space="preserve">-0.084</w:t>
                  </w:r>
                </w:p>
              </w:tc>
              <w:tc>
                <w:tcPr/>
                <w:p>
                  <w:pPr>
                    <w:pStyle w:val="Compact"/>
                    <w:jc w:val="center"/>
                  </w:pPr>
                  <w:r>
                    <w:t xml:space="preserve">0.265</w:t>
                  </w:r>
                </w:p>
              </w:tc>
              <w:tc>
                <w:tcPr/>
                <w:p>
                  <w:pPr>
                    <w:pStyle w:val="Compact"/>
                    <w:jc w:val="center"/>
                  </w:pPr>
                  <w:r>
                    <w:t xml:space="preserve">-0.316</w:t>
                  </w:r>
                </w:p>
              </w:tc>
              <w:tc>
                <w:tcPr/>
                <w:p>
                  <w:pPr>
                    <w:pStyle w:val="Compact"/>
                    <w:jc w:val="center"/>
                  </w:pPr>
                  <w:r>
                    <w:t xml:space="preserve">0.7522</w:t>
                  </w:r>
                </w:p>
              </w:tc>
              <w:tc>
                <w:tcPr/>
                <w:p>
                  <w:pPr>
                    <w:pStyle w:val="Compact"/>
                    <w:jc w:val="center"/>
                  </w:pPr>
                  <w:r>
                    <w:t xml:space="preserve">-0.603</w:t>
                  </w:r>
                </w:p>
              </w:tc>
              <w:tc>
                <w:tcPr/>
                <w:p>
                  <w:pPr>
                    <w:pStyle w:val="Compact"/>
                    <w:jc w:val="center"/>
                  </w:pPr>
                  <w:r>
                    <w:t xml:space="preserve">0.435</w:t>
                  </w:r>
                </w:p>
              </w:tc>
            </w:tr>
            <w:tr>
              <w:tc>
                <w:tcPr/>
                <w:p>
                  <w:pPr>
                    <w:pStyle w:val="Compact"/>
                    <w:jc w:val="center"/>
                  </w:pPr>
                  <w:r>
                    <w:t xml:space="preserve">Region: Sud-Kivu</w:t>
                  </w:r>
                </w:p>
              </w:tc>
              <w:tc>
                <w:tcPr/>
                <w:p>
                  <w:pPr>
                    <w:pStyle w:val="Compact"/>
                    <w:jc w:val="center"/>
                  </w:pPr>
                  <w:r>
                    <w:t xml:space="preserve">0.300</w:t>
                  </w:r>
                </w:p>
              </w:tc>
              <w:tc>
                <w:tcPr/>
                <w:p>
                  <w:pPr>
                    <w:pStyle w:val="Compact"/>
                    <w:jc w:val="center"/>
                  </w:pPr>
                  <w:r>
                    <w:t xml:space="preserve">0.270</w:t>
                  </w:r>
                </w:p>
              </w:tc>
              <w:tc>
                <w:tcPr/>
                <w:p>
                  <w:pPr>
                    <w:pStyle w:val="Compact"/>
                    <w:jc w:val="center"/>
                  </w:pPr>
                  <w:r>
                    <w:t xml:space="preserve">1.111</w:t>
                  </w:r>
                </w:p>
              </w:tc>
              <w:tc>
                <w:tcPr/>
                <w:p>
                  <w:pPr>
                    <w:pStyle w:val="Compact"/>
                    <w:jc w:val="center"/>
                  </w:pPr>
                  <w:r>
                    <w:t xml:space="preserve">0.2667</w:t>
                  </w:r>
                </w:p>
              </w:tc>
              <w:tc>
                <w:tcPr/>
                <w:p>
                  <w:pPr>
                    <w:pStyle w:val="Compact"/>
                    <w:jc w:val="center"/>
                  </w:pPr>
                  <w:r>
                    <w:t xml:space="preserve">-0.229</w:t>
                  </w:r>
                </w:p>
              </w:tc>
              <w:tc>
                <w:tcPr/>
                <w:p>
                  <w:pPr>
                    <w:pStyle w:val="Compact"/>
                    <w:jc w:val="center"/>
                  </w:pPr>
                  <w:r>
                    <w:t xml:space="preserve">0.829</w:t>
                  </w:r>
                </w:p>
              </w:tc>
            </w:tr>
          </w:tbl>
          <w:bookmarkEnd w:id="200"/>
          <w:p/>
        </w:tc>
      </w:tr>
    </w:tbl>
    <w:bookmarkEnd w:id="201"/>
    <w:bookmarkStart w:id="204" w:name="predictive-ranger-tuning-results"/>
    <w:p>
      <w:pPr>
        <w:pStyle w:val="Heading4"/>
      </w:pPr>
      <w:r>
        <w:t xml:space="preserve">Predictive ranger tuning results</w:t>
      </w:r>
    </w:p>
    <w:tbl>
      <w:tblPr>
        <w:tblStyle w:val="Table"/>
        <w:tblW w:type="pct" w:w="5000"/>
        <w:tblLayout w:type="fixed"/>
        <w:tblLook w:firstRow="0" w:lastRow="0" w:firstColumn="0" w:lastColumn="0" w:noHBand="0" w:noVBand="0" w:val="0000"/>
      </w:tblPr>
      <w:tblGrid>
        <w:gridCol w:w="7920"/>
      </w:tblGrid>
      <w:tr>
        <w:tc>
          <w:tcPr/>
          <w:bookmarkStart w:id="202" w:name="tbl-appendix-ranger-sampling-summary"/>
          <w:p>
            <w:pPr>
              <w:jc w:val="center"/>
            </w:pPr>
            <w:pPr>
              <w:jc w:val="left"/>
              <w:spacing w:before="200"/>
              <w:pStyle w:val="ImageCaption"/>
            </w:pPr>
            <w:r>
              <w:t xml:space="preserve">Table 4: Weighted class distribution before and after ranger undersampling.</w:t>
            </w:r>
          </w:p>
          <w:p>
            <w:pPr>
              <w:pStyle w:val="Compact"/>
              <w:jc w:val="center"/>
            </w:pPr>
            <w:r>
              <w:t xml:space="preserve">Weighted class distribution before and after ranger undersampling</w:t>
            </w:r>
          </w:p>
          <w:tbl>
            <w:tblPr>
              <w:tblStyle w:val="Table"/>
              <w:tblW w:type="pct" w:w="5000"/>
              <w:tblLayout w:type="fixed"/>
              <w:tblLook w:firstRow="1" w:lastRow="0" w:firstColumn="0" w:lastColumn="0" w:noHBand="0" w:noVBand="0" w:val="0020"/>
              <w:tblCaption w:val="Weighted class distribution before and after ranger undersampling"/>
            </w:tblPr>
            <w:tblGrid>
              <w:gridCol w:w="2262"/>
              <w:gridCol w:w="1954"/>
              <w:gridCol w:w="617"/>
              <w:gridCol w:w="1234"/>
              <w:gridCol w:w="1851"/>
            </w:tblGrid>
            <w:tr>
              <w:trPr>
                <w:tblHeader w:val="on"/>
              </w:trPr>
              <w:tc>
                <w:tcPr/>
                <w:p>
                  <w:pPr>
                    <w:pStyle w:val="Compact"/>
                    <w:jc w:val="center"/>
                  </w:pPr>
                  <w:r>
                    <w:t xml:space="preserve">Sample</w:t>
                  </w:r>
                </w:p>
              </w:tc>
              <w:tc>
                <w:tcPr/>
                <w:p>
                  <w:pPr>
                    <w:pStyle w:val="Compact"/>
                    <w:jc w:val="center"/>
                  </w:pPr>
                  <w:r>
                    <w:t xml:space="preserve">Outcome</w:t>
                  </w:r>
                </w:p>
              </w:tc>
              <w:tc>
                <w:tcPr/>
                <w:p>
                  <w:pPr>
                    <w:pStyle w:val="Compact"/>
                    <w:jc w:val="center"/>
                  </w:pPr>
                  <w:r>
                    <w:t xml:space="preserve">Rows</w:t>
                  </w:r>
                </w:p>
              </w:tc>
              <w:tc>
                <w:tcPr/>
                <w:p>
                  <w:pPr>
                    <w:pStyle w:val="Compact"/>
                    <w:jc w:val="center"/>
                  </w:pPr>
                  <w:r>
                    <w:t xml:space="preserve">Weighted N</w:t>
                  </w:r>
                </w:p>
              </w:tc>
              <w:tc>
                <w:tcPr/>
                <w:p>
                  <w:pPr>
                    <w:pStyle w:val="Compact"/>
                    <w:jc w:val="center"/>
                  </w:pPr>
                  <w:r>
                    <w:t xml:space="preserve">Weighted percent</w:t>
                  </w:r>
                </w:p>
              </w:tc>
            </w:tr>
            <w:tr>
              <w:tc>
                <w:tcPr/>
                <w:p>
                  <w:pPr>
                    <w:pStyle w:val="Compact"/>
                    <w:jc w:val="center"/>
                  </w:pPr>
                  <w:r>
                    <w:t xml:space="preserve">Before undersampling</w:t>
                  </w:r>
                </w:p>
              </w:tc>
              <w:tc>
                <w:tcPr/>
                <w:p>
                  <w:pPr>
                    <w:pStyle w:val="Compact"/>
                    <w:jc w:val="center"/>
                  </w:pPr>
                  <w:r>
                    <w:t xml:space="preserve">Alive at age 5</w:t>
                  </w:r>
                </w:p>
              </w:tc>
              <w:tc>
                <w:tcPr/>
                <w:p>
                  <w:pPr>
                    <w:pStyle w:val="Compact"/>
                    <w:jc w:val="center"/>
                  </w:pPr>
                  <w:r>
                    <w:t xml:space="preserve">7424</w:t>
                  </w:r>
                </w:p>
              </w:tc>
              <w:tc>
                <w:tcPr/>
                <w:p>
                  <w:pPr>
                    <w:pStyle w:val="Compact"/>
                    <w:jc w:val="center"/>
                  </w:pPr>
                  <w:r>
                    <w:t xml:space="preserve">7464.30</w:t>
                  </w:r>
                </w:p>
              </w:tc>
              <w:tc>
                <w:tcPr/>
                <w:p>
                  <w:pPr>
                    <w:pStyle w:val="Compact"/>
                    <w:jc w:val="center"/>
                  </w:pPr>
                  <w:r>
                    <w:t xml:space="preserve">89.68</w:t>
                  </w:r>
                </w:p>
              </w:tc>
            </w:tr>
            <w:tr>
              <w:tc>
                <w:tcPr/>
                <w:p>
                  <w:pPr>
                    <w:pStyle w:val="Compact"/>
                    <w:jc w:val="center"/>
                  </w:pPr>
                  <w:r>
                    <w:t xml:space="preserve">Before undersampling</w:t>
                  </w:r>
                </w:p>
              </w:tc>
              <w:tc>
                <w:tcPr/>
                <w:p>
                  <w:pPr>
                    <w:pStyle w:val="Compact"/>
                    <w:jc w:val="center"/>
                  </w:pPr>
                  <w:r>
                    <w:t xml:space="preserve">Died before age 5</w:t>
                  </w:r>
                </w:p>
              </w:tc>
              <w:tc>
                <w:tcPr/>
                <w:p>
                  <w:pPr>
                    <w:pStyle w:val="Compact"/>
                    <w:jc w:val="center"/>
                  </w:pPr>
                  <w:r>
                    <w:t xml:space="preserve">872</w:t>
                  </w:r>
                </w:p>
              </w:tc>
              <w:tc>
                <w:tcPr/>
                <w:p>
                  <w:pPr>
                    <w:pStyle w:val="Compact"/>
                    <w:jc w:val="center"/>
                  </w:pPr>
                  <w:r>
                    <w:t xml:space="preserve">858.80</w:t>
                  </w:r>
                </w:p>
              </w:tc>
              <w:tc>
                <w:tcPr/>
                <w:p>
                  <w:pPr>
                    <w:pStyle w:val="Compact"/>
                    <w:jc w:val="center"/>
                  </w:pPr>
                  <w:r>
                    <w:t xml:space="preserve">10.32</w:t>
                  </w:r>
                </w:p>
              </w:tc>
            </w:tr>
            <w:tr>
              <w:tc>
                <w:tcPr/>
                <w:p>
                  <w:pPr>
                    <w:pStyle w:val="Compact"/>
                    <w:jc w:val="center"/>
                  </w:pPr>
                  <w:r>
                    <w:t xml:space="preserve">After undersampling</w:t>
                  </w:r>
                </w:p>
              </w:tc>
              <w:tc>
                <w:tcPr/>
                <w:p>
                  <w:pPr>
                    <w:pStyle w:val="Compact"/>
                    <w:jc w:val="center"/>
                  </w:pPr>
                  <w:r>
                    <w:t xml:space="preserve">Alive at age 5</w:t>
                  </w:r>
                </w:p>
              </w:tc>
              <w:tc>
                <w:tcPr/>
                <w:p>
                  <w:pPr>
                    <w:pStyle w:val="Compact"/>
                    <w:jc w:val="center"/>
                  </w:pPr>
                  <w:r>
                    <w:t xml:space="preserve">1274</w:t>
                  </w:r>
                </w:p>
              </w:tc>
              <w:tc>
                <w:tcPr/>
                <w:p>
                  <w:pPr>
                    <w:pStyle w:val="Compact"/>
                    <w:jc w:val="center"/>
                  </w:pPr>
                  <w:r>
                    <w:t xml:space="preserve">1289.74</w:t>
                  </w:r>
                </w:p>
              </w:tc>
              <w:tc>
                <w:tcPr/>
                <w:p>
                  <w:pPr>
                    <w:pStyle w:val="Compact"/>
                    <w:jc w:val="center"/>
                  </w:pPr>
                  <w:r>
                    <w:t xml:space="preserve">60.03</w:t>
                  </w:r>
                </w:p>
              </w:tc>
            </w:tr>
            <w:tr>
              <w:tc>
                <w:tcPr/>
                <w:p>
                  <w:pPr>
                    <w:pStyle w:val="Compact"/>
                    <w:jc w:val="center"/>
                  </w:pPr>
                  <w:r>
                    <w:t xml:space="preserve">After undersampling</w:t>
                  </w:r>
                </w:p>
              </w:tc>
              <w:tc>
                <w:tcPr/>
                <w:p>
                  <w:pPr>
                    <w:pStyle w:val="Compact"/>
                    <w:jc w:val="center"/>
                  </w:pPr>
                  <w:r>
                    <w:t xml:space="preserve">Died before age 5</w:t>
                  </w:r>
                </w:p>
              </w:tc>
              <w:tc>
                <w:tcPr/>
                <w:p>
                  <w:pPr>
                    <w:pStyle w:val="Compact"/>
                    <w:jc w:val="center"/>
                  </w:pPr>
                  <w:r>
                    <w:t xml:space="preserve">872</w:t>
                  </w:r>
                </w:p>
              </w:tc>
              <w:tc>
                <w:tcPr/>
                <w:p>
                  <w:pPr>
                    <w:pStyle w:val="Compact"/>
                    <w:jc w:val="center"/>
                  </w:pPr>
                  <w:r>
                    <w:t xml:space="preserve">858.80</w:t>
                  </w:r>
                </w:p>
              </w:tc>
              <w:tc>
                <w:tcPr/>
                <w:p>
                  <w:pPr>
                    <w:pStyle w:val="Compact"/>
                    <w:jc w:val="center"/>
                  </w:pPr>
                  <w:r>
                    <w:t xml:space="preserve">39.97</w:t>
                  </w:r>
                </w:p>
              </w:tc>
            </w:tr>
          </w:tbl>
          <w:bookmarkEnd w:id="20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3" w:name="tbl-appendix-ranger-cross-validation"/>
          <w:p>
            <w:pPr>
              <w:jc w:val="center"/>
            </w:pPr>
            <w:pPr>
              <w:jc w:val="left"/>
              <w:spacing w:before="200"/>
              <w:pStyle w:val="ImageCaption"/>
            </w:pPr>
            <w:r>
              <w:t xml:space="preserve">Table 5: Cross-validation results for the predictive ranger model.</w:t>
            </w:r>
          </w:p>
          <w:p>
            <w:pPr>
              <w:pStyle w:val="Compact"/>
              <w:jc w:val="center"/>
            </w:pPr>
            <w:r>
              <w:t xml:space="preserve">Cross-validation results for the predictive ranger model</w:t>
            </w:r>
          </w:p>
          <w:tbl>
            <w:tblPr>
              <w:tblStyle w:val="Table"/>
              <w:tblW w:type="auto" w:w="0"/>
              <w:tblLook w:firstRow="1" w:lastRow="0" w:firstColumn="0" w:lastColumn="0" w:noHBand="0" w:noVBand="0" w:val="0020"/>
              <w:tblCaption w:val="Cross-validation results for the predictive ranger model"/>
            </w:tblPr>
            <w:tblGrid>
              <w:gridCol w:w="1131"/>
              <w:gridCol w:w="1131"/>
              <w:gridCol w:w="1131"/>
              <w:gridCol w:w="1131"/>
              <w:gridCol w:w="1131"/>
              <w:gridCol w:w="1131"/>
              <w:gridCol w:w="1131"/>
            </w:tblGrid>
            <w:tr>
              <w:trPr>
                <w:tblHeader w:val="on"/>
              </w:trPr>
              <w:tc>
                <w:tcPr/>
                <w:p>
                  <w:pPr>
                    <w:pStyle w:val="Compact"/>
                    <w:jc w:val="center"/>
                  </w:pPr>
                  <w:r>
                    <w:t xml:space="preserve">Metric</w:t>
                  </w:r>
                </w:p>
              </w:tc>
              <w:tc>
                <w:tcPr/>
                <w:p>
                  <w:pPr>
                    <w:pStyle w:val="Compact"/>
                    <w:jc w:val="center"/>
                  </w:pPr>
                  <w:r>
                    <w:t xml:space="preserve">mtry</w:t>
                  </w:r>
                </w:p>
              </w:tc>
              <w:tc>
                <w:tcPr/>
                <w:p>
                  <w:pPr>
                    <w:pStyle w:val="Compact"/>
                    <w:jc w:val="center"/>
                  </w:pPr>
                  <w:r>
                    <w:t xml:space="preserve">min_n</w:t>
                  </w:r>
                </w:p>
              </w:tc>
              <w:tc>
                <w:tcPr/>
                <w:p>
                  <w:pPr>
                    <w:pStyle w:val="Compact"/>
                    <w:jc w:val="center"/>
                  </w:pPr>
                  <w:r>
                    <w:t xml:space="preserve">Mean</w:t>
                  </w:r>
                </w:p>
              </w:tc>
              <w:tc>
                <w:tcPr/>
                <w:p>
                  <w:pPr>
                    <w:pStyle w:val="Compact"/>
                    <w:jc w:val="center"/>
                  </w:pPr>
                  <w:r>
                    <w:t xml:space="preserve">Std. error</w:t>
                  </w:r>
                </w:p>
              </w:tc>
              <w:tc>
                <w:tcPr/>
                <w:p>
                  <w:pPr>
                    <w:pStyle w:val="Compact"/>
                    <w:jc w:val="center"/>
                  </w:pPr>
                  <w:r>
                    <w:t xml:space="preserve">Folds</w:t>
                  </w:r>
                </w:p>
              </w:tc>
              <w:tc>
                <w:tcPr/>
                <w:p>
                  <w:pPr>
                    <w:pStyle w:val="Compact"/>
                    <w:jc w:val="center"/>
                  </w:pPr>
                  <w:r>
                    <w:t xml:space="preserve">Rank</w:t>
                  </w:r>
                </w:p>
              </w:tc>
            </w:tr>
            <w:tr>
              <w:tc>
                <w:tcPr/>
                <w:p>
                  <w:pPr>
                    <w:pStyle w:val="Compact"/>
                    <w:jc w:val="center"/>
                  </w:pPr>
                  <w:r>
                    <w:t xml:space="preserve">accuracy</w:t>
                  </w:r>
                </w:p>
              </w:tc>
              <w:tc>
                <w:tcPr/>
                <w:p>
                  <w:pPr>
                    <w:pStyle w:val="Compact"/>
                    <w:jc w:val="center"/>
                  </w:pPr>
                  <w:r>
                    <w:t xml:space="preserve">22</w:t>
                  </w:r>
                </w:p>
              </w:tc>
              <w:tc>
                <w:tcPr/>
                <w:p>
                  <w:pPr>
                    <w:pStyle w:val="Compact"/>
                    <w:jc w:val="center"/>
                  </w:pPr>
                  <w:r>
                    <w:t xml:space="preserve">500</w:t>
                  </w:r>
                </w:p>
              </w:tc>
              <w:tc>
                <w:tcPr/>
                <w:p>
                  <w:pPr>
                    <w:pStyle w:val="Compact"/>
                    <w:jc w:val="center"/>
                  </w:pPr>
                  <w:r>
                    <w:t xml:space="preserve">0.6118</w:t>
                  </w:r>
                </w:p>
              </w:tc>
              <w:tc>
                <w:tcPr/>
                <w:p>
                  <w:pPr>
                    <w:pStyle w:val="Compact"/>
                    <w:jc w:val="center"/>
                  </w:pPr>
                  <w:r>
                    <w:t xml:space="preserve">0.0083</w:t>
                  </w:r>
                </w:p>
              </w:tc>
              <w:tc>
                <w:tcPr/>
                <w:p>
                  <w:pPr>
                    <w:pStyle w:val="Compact"/>
                    <w:jc w:val="center"/>
                  </w:pPr>
                  <w:r>
                    <w:t xml:space="preserve">10</w:t>
                  </w:r>
                </w:p>
              </w:tc>
              <w:tc>
                <w:tcPr/>
                <w:p>
                  <w:pPr>
                    <w:pStyle w:val="Compact"/>
                    <w:jc w:val="center"/>
                  </w:pPr>
                  <w:r>
                    <w:t xml:space="preserve">1</w:t>
                  </w:r>
                </w:p>
              </w:tc>
            </w:tr>
            <w:tr>
              <w:tc>
                <w:tcPr/>
                <w:p>
                  <w:pPr>
                    <w:pStyle w:val="Compact"/>
                    <w:jc w:val="center"/>
                  </w:pPr>
                  <w:r>
                    <w:t xml:space="preserve">accuracy</w:t>
                  </w:r>
                </w:p>
              </w:tc>
              <w:tc>
                <w:tcPr/>
                <w:p>
                  <w:pPr>
                    <w:pStyle w:val="Compact"/>
                    <w:jc w:val="center"/>
                  </w:pPr>
                  <w:r>
                    <w:t xml:space="preserve">10</w:t>
                  </w:r>
                </w:p>
              </w:tc>
              <w:tc>
                <w:tcPr/>
                <w:p>
                  <w:pPr>
                    <w:pStyle w:val="Compact"/>
                    <w:jc w:val="center"/>
                  </w:pPr>
                  <w:r>
                    <w:t xml:space="preserve">200</w:t>
                  </w:r>
                </w:p>
              </w:tc>
              <w:tc>
                <w:tcPr/>
                <w:p>
                  <w:pPr>
                    <w:pStyle w:val="Compact"/>
                    <w:jc w:val="center"/>
                  </w:pPr>
                  <w:r>
                    <w:t xml:space="preserve">0.6108</w:t>
                  </w:r>
                </w:p>
              </w:tc>
              <w:tc>
                <w:tcPr/>
                <w:p>
                  <w:pPr>
                    <w:pStyle w:val="Compact"/>
                    <w:jc w:val="center"/>
                  </w:pPr>
                  <w:r>
                    <w:t xml:space="preserve">0.0090</w:t>
                  </w:r>
                </w:p>
              </w:tc>
              <w:tc>
                <w:tcPr/>
                <w:p>
                  <w:pPr>
                    <w:pStyle w:val="Compact"/>
                    <w:jc w:val="center"/>
                  </w:pPr>
                  <w:r>
                    <w:t xml:space="preserve">10</w:t>
                  </w:r>
                </w:p>
              </w:tc>
              <w:tc>
                <w:tcPr/>
                <w:p>
                  <w:pPr>
                    <w:pStyle w:val="Compact"/>
                    <w:jc w:val="center"/>
                  </w:pPr>
                  <w:r>
                    <w:t xml:space="preserve">2</w:t>
                  </w:r>
                </w:p>
              </w:tc>
            </w:tr>
            <w:tr>
              <w:tc>
                <w:tcPr/>
                <w:p>
                  <w:pPr>
                    <w:pStyle w:val="Compact"/>
                    <w:jc w:val="center"/>
                  </w:pPr>
                  <w:r>
                    <w:t xml:space="preserve">accuracy</w:t>
                  </w:r>
                </w:p>
              </w:tc>
              <w:tc>
                <w:tcPr/>
                <w:p>
                  <w:pPr>
                    <w:pStyle w:val="Compact"/>
                    <w:jc w:val="center"/>
                  </w:pPr>
                  <w:r>
                    <w:t xml:space="preserve">16</w:t>
                  </w:r>
                </w:p>
              </w:tc>
              <w:tc>
                <w:tcPr/>
                <w:p>
                  <w:pPr>
                    <w:pStyle w:val="Compact"/>
                    <w:jc w:val="center"/>
                  </w:pPr>
                  <w:r>
                    <w:t xml:space="preserve">500</w:t>
                  </w:r>
                </w:p>
              </w:tc>
              <w:tc>
                <w:tcPr/>
                <w:p>
                  <w:pPr>
                    <w:pStyle w:val="Compact"/>
                    <w:jc w:val="center"/>
                  </w:pPr>
                  <w:r>
                    <w:t xml:space="preserve">0.6104</w:t>
                  </w:r>
                </w:p>
              </w:tc>
              <w:tc>
                <w:tcPr/>
                <w:p>
                  <w:pPr>
                    <w:pStyle w:val="Compact"/>
                    <w:jc w:val="center"/>
                  </w:pPr>
                  <w:r>
                    <w:t xml:space="preserve">0.0096</w:t>
                  </w:r>
                </w:p>
              </w:tc>
              <w:tc>
                <w:tcPr/>
                <w:p>
                  <w:pPr>
                    <w:pStyle w:val="Compact"/>
                    <w:jc w:val="center"/>
                  </w:pPr>
                  <w:r>
                    <w:t xml:space="preserve">10</w:t>
                  </w:r>
                </w:p>
              </w:tc>
              <w:tc>
                <w:tcPr/>
                <w:p>
                  <w:pPr>
                    <w:pStyle w:val="Compact"/>
                    <w:jc w:val="center"/>
                  </w:pPr>
                  <w:r>
                    <w:t xml:space="preserve">3</w:t>
                  </w:r>
                </w:p>
              </w:tc>
            </w:tr>
            <w:tr>
              <w:tc>
                <w:tcPr/>
                <w:p>
                  <w:pPr>
                    <w:pStyle w:val="Compact"/>
                    <w:jc w:val="center"/>
                  </w:pPr>
                  <w:r>
                    <w:t xml:space="preserve">accuracy</w:t>
                  </w:r>
                </w:p>
              </w:tc>
              <w:tc>
                <w:tcPr/>
                <w:p>
                  <w:pPr>
                    <w:pStyle w:val="Compact"/>
                    <w:jc w:val="center"/>
                  </w:pPr>
                  <w:r>
                    <w:t xml:space="preserve">29</w:t>
                  </w:r>
                </w:p>
              </w:tc>
              <w:tc>
                <w:tcPr/>
                <w:p>
                  <w:pPr>
                    <w:pStyle w:val="Compact"/>
                    <w:jc w:val="center"/>
                  </w:pPr>
                  <w:r>
                    <w:t xml:space="preserve">200</w:t>
                  </w:r>
                </w:p>
              </w:tc>
              <w:tc>
                <w:tcPr/>
                <w:p>
                  <w:pPr>
                    <w:pStyle w:val="Compact"/>
                    <w:jc w:val="center"/>
                  </w:pPr>
                  <w:r>
                    <w:t xml:space="preserve">0.6090</w:t>
                  </w:r>
                </w:p>
              </w:tc>
              <w:tc>
                <w:tcPr/>
                <w:p>
                  <w:pPr>
                    <w:pStyle w:val="Compact"/>
                    <w:jc w:val="center"/>
                  </w:pPr>
                  <w:r>
                    <w:t xml:space="preserve">0.0106</w:t>
                  </w:r>
                </w:p>
              </w:tc>
              <w:tc>
                <w:tcPr/>
                <w:p>
                  <w:pPr>
                    <w:pStyle w:val="Compact"/>
                    <w:jc w:val="center"/>
                  </w:pPr>
                  <w:r>
                    <w:t xml:space="preserve">10</w:t>
                  </w:r>
                </w:p>
              </w:tc>
              <w:tc>
                <w:tcPr/>
                <w:p>
                  <w:pPr>
                    <w:pStyle w:val="Compact"/>
                    <w:jc w:val="center"/>
                  </w:pPr>
                  <w:r>
                    <w:t xml:space="preserve">4</w:t>
                  </w:r>
                </w:p>
              </w:tc>
            </w:tr>
            <w:tr>
              <w:tc>
                <w:tcPr/>
                <w:p>
                  <w:pPr>
                    <w:pStyle w:val="Compact"/>
                    <w:jc w:val="center"/>
                  </w:pPr>
                  <w:r>
                    <w:t xml:space="preserve">accuracy</w:t>
                  </w:r>
                </w:p>
              </w:tc>
              <w:tc>
                <w:tcPr/>
                <w:p>
                  <w:pPr>
                    <w:pStyle w:val="Compact"/>
                    <w:jc w:val="center"/>
                  </w:pPr>
                  <w:r>
                    <w:t xml:space="preserve">10</w:t>
                  </w:r>
                </w:p>
              </w:tc>
              <w:tc>
                <w:tcPr/>
                <w:p>
                  <w:pPr>
                    <w:pStyle w:val="Compact"/>
                    <w:jc w:val="center"/>
                  </w:pPr>
                  <w:r>
                    <w:t xml:space="preserve">500</w:t>
                  </w:r>
                </w:p>
              </w:tc>
              <w:tc>
                <w:tcPr/>
                <w:p>
                  <w:pPr>
                    <w:pStyle w:val="Compact"/>
                    <w:jc w:val="center"/>
                  </w:pPr>
                  <w:r>
                    <w:t xml:space="preserve">0.6080</w:t>
                  </w:r>
                </w:p>
              </w:tc>
              <w:tc>
                <w:tcPr/>
                <w:p>
                  <w:pPr>
                    <w:pStyle w:val="Compact"/>
                    <w:jc w:val="center"/>
                  </w:pPr>
                  <w:r>
                    <w:t xml:space="preserve">0.0081</w:t>
                  </w:r>
                </w:p>
              </w:tc>
              <w:tc>
                <w:tcPr/>
                <w:p>
                  <w:pPr>
                    <w:pStyle w:val="Compact"/>
                    <w:jc w:val="center"/>
                  </w:pPr>
                  <w:r>
                    <w:t xml:space="preserve">10</w:t>
                  </w:r>
                </w:p>
              </w:tc>
              <w:tc>
                <w:tcPr/>
                <w:p>
                  <w:pPr>
                    <w:pStyle w:val="Compact"/>
                    <w:jc w:val="center"/>
                  </w:pPr>
                  <w:r>
                    <w:t xml:space="preserve">5</w:t>
                  </w:r>
                </w:p>
              </w:tc>
            </w:tr>
            <w:tr>
              <w:tc>
                <w:tcPr/>
                <w:p>
                  <w:pPr>
                    <w:pStyle w:val="Compact"/>
                    <w:jc w:val="center"/>
                  </w:pPr>
                  <w:r>
                    <w:t xml:space="preserve">accuracy</w:t>
                  </w:r>
                </w:p>
              </w:tc>
              <w:tc>
                <w:tcPr/>
                <w:p>
                  <w:pPr>
                    <w:pStyle w:val="Compact"/>
                    <w:jc w:val="center"/>
                  </w:pPr>
                  <w:r>
                    <w:t xml:space="preserve">22</w:t>
                  </w:r>
                </w:p>
              </w:tc>
              <w:tc>
                <w:tcPr/>
                <w:p>
                  <w:pPr>
                    <w:pStyle w:val="Compact"/>
                    <w:jc w:val="center"/>
                  </w:pPr>
                  <w:r>
                    <w:t xml:space="preserve">200</w:t>
                  </w:r>
                </w:p>
              </w:tc>
              <w:tc>
                <w:tcPr/>
                <w:p>
                  <w:pPr>
                    <w:pStyle w:val="Compact"/>
                    <w:jc w:val="center"/>
                  </w:pPr>
                  <w:r>
                    <w:t xml:space="preserve">0.6080</w:t>
                  </w:r>
                </w:p>
              </w:tc>
              <w:tc>
                <w:tcPr/>
                <w:p>
                  <w:pPr>
                    <w:pStyle w:val="Compact"/>
                    <w:jc w:val="center"/>
                  </w:pPr>
                  <w:r>
                    <w:t xml:space="preserve">0.0098</w:t>
                  </w:r>
                </w:p>
              </w:tc>
              <w:tc>
                <w:tcPr/>
                <w:p>
                  <w:pPr>
                    <w:pStyle w:val="Compact"/>
                    <w:jc w:val="center"/>
                  </w:pPr>
                  <w:r>
                    <w:t xml:space="preserve">10</w:t>
                  </w:r>
                </w:p>
              </w:tc>
              <w:tc>
                <w:tcPr/>
                <w:p>
                  <w:pPr>
                    <w:pStyle w:val="Compact"/>
                    <w:jc w:val="center"/>
                  </w:pPr>
                  <w:r>
                    <w:t xml:space="preserve">6</w:t>
                  </w:r>
                </w:p>
              </w:tc>
            </w:tr>
            <w:tr>
              <w:tc>
                <w:tcPr/>
                <w:p>
                  <w:pPr>
                    <w:pStyle w:val="Compact"/>
                    <w:jc w:val="center"/>
                  </w:pPr>
                  <w:r>
                    <w:t xml:space="preserve">accuracy</w:t>
                  </w:r>
                </w:p>
              </w:tc>
              <w:tc>
                <w:tcPr/>
                <w:p>
                  <w:pPr>
                    <w:pStyle w:val="Compact"/>
                    <w:jc w:val="center"/>
                  </w:pPr>
                  <w:r>
                    <w:t xml:space="preserve">16</w:t>
                  </w:r>
                </w:p>
              </w:tc>
              <w:tc>
                <w:tcPr/>
                <w:p>
                  <w:pPr>
                    <w:pStyle w:val="Compact"/>
                    <w:jc w:val="center"/>
                  </w:pPr>
                  <w:r>
                    <w:t xml:space="preserve">800</w:t>
                  </w:r>
                </w:p>
              </w:tc>
              <w:tc>
                <w:tcPr/>
                <w:p>
                  <w:pPr>
                    <w:pStyle w:val="Compact"/>
                    <w:jc w:val="center"/>
                  </w:pPr>
                  <w:r>
                    <w:t xml:space="preserve">0.6076</w:t>
                  </w:r>
                </w:p>
              </w:tc>
              <w:tc>
                <w:tcPr/>
                <w:p>
                  <w:pPr>
                    <w:pStyle w:val="Compact"/>
                    <w:jc w:val="center"/>
                  </w:pPr>
                  <w:r>
                    <w:t xml:space="preserve">0.0042</w:t>
                  </w:r>
                </w:p>
              </w:tc>
              <w:tc>
                <w:tcPr/>
                <w:p>
                  <w:pPr>
                    <w:pStyle w:val="Compact"/>
                    <w:jc w:val="center"/>
                  </w:pPr>
                  <w:r>
                    <w:t xml:space="preserve">10</w:t>
                  </w:r>
                </w:p>
              </w:tc>
              <w:tc>
                <w:tcPr/>
                <w:p>
                  <w:pPr>
                    <w:pStyle w:val="Compact"/>
                    <w:jc w:val="center"/>
                  </w:pPr>
                  <w:r>
                    <w:t xml:space="preserve">7</w:t>
                  </w:r>
                </w:p>
              </w:tc>
            </w:tr>
            <w:tr>
              <w:tc>
                <w:tcPr/>
                <w:p>
                  <w:pPr>
                    <w:pStyle w:val="Compact"/>
                    <w:jc w:val="center"/>
                  </w:pPr>
                  <w:r>
                    <w:t xml:space="preserve">accuracy</w:t>
                  </w:r>
                </w:p>
              </w:tc>
              <w:tc>
                <w:tcPr/>
                <w:p>
                  <w:pPr>
                    <w:pStyle w:val="Compact"/>
                    <w:jc w:val="center"/>
                  </w:pPr>
                  <w:r>
                    <w:t xml:space="preserve">29</w:t>
                  </w:r>
                </w:p>
              </w:tc>
              <w:tc>
                <w:tcPr/>
                <w:p>
                  <w:pPr>
                    <w:pStyle w:val="Compact"/>
                    <w:jc w:val="center"/>
                  </w:pPr>
                  <w:r>
                    <w:t xml:space="preserve">800</w:t>
                  </w:r>
                </w:p>
              </w:tc>
              <w:tc>
                <w:tcPr/>
                <w:p>
                  <w:pPr>
                    <w:pStyle w:val="Compact"/>
                    <w:jc w:val="center"/>
                  </w:pPr>
                  <w:r>
                    <w:t xml:space="preserve">0.6076</w:t>
                  </w:r>
                </w:p>
              </w:tc>
              <w:tc>
                <w:tcPr/>
                <w:p>
                  <w:pPr>
                    <w:pStyle w:val="Compact"/>
                    <w:jc w:val="center"/>
                  </w:pPr>
                  <w:r>
                    <w:t xml:space="preserve">0.0050</w:t>
                  </w:r>
                </w:p>
              </w:tc>
              <w:tc>
                <w:tcPr/>
                <w:p>
                  <w:pPr>
                    <w:pStyle w:val="Compact"/>
                    <w:jc w:val="center"/>
                  </w:pPr>
                  <w:r>
                    <w:t xml:space="preserve">10</w:t>
                  </w:r>
                </w:p>
              </w:tc>
              <w:tc>
                <w:tcPr/>
                <w:p>
                  <w:pPr>
                    <w:pStyle w:val="Compact"/>
                    <w:jc w:val="center"/>
                  </w:pPr>
                  <w:r>
                    <w:t xml:space="preserve">8</w:t>
                  </w:r>
                </w:p>
              </w:tc>
            </w:tr>
            <w:tr>
              <w:tc>
                <w:tcPr/>
                <w:p>
                  <w:pPr>
                    <w:pStyle w:val="Compact"/>
                    <w:jc w:val="center"/>
                  </w:pPr>
                  <w:r>
                    <w:t xml:space="preserve">accuracy</w:t>
                  </w:r>
                </w:p>
              </w:tc>
              <w:tc>
                <w:tcPr/>
                <w:p>
                  <w:pPr>
                    <w:pStyle w:val="Compact"/>
                    <w:jc w:val="center"/>
                  </w:pPr>
                  <w:r>
                    <w:t xml:space="preserve">10</w:t>
                  </w:r>
                </w:p>
              </w:tc>
              <w:tc>
                <w:tcPr/>
                <w:p>
                  <w:pPr>
                    <w:pStyle w:val="Compact"/>
                    <w:jc w:val="center"/>
                  </w:pPr>
                  <w:r>
                    <w:t xml:space="preserve">800</w:t>
                  </w:r>
                </w:p>
              </w:tc>
              <w:tc>
                <w:tcPr/>
                <w:p>
                  <w:pPr>
                    <w:pStyle w:val="Compact"/>
                    <w:jc w:val="center"/>
                  </w:pPr>
                  <w:r>
                    <w:t xml:space="preserve">0.6072</w:t>
                  </w:r>
                </w:p>
              </w:tc>
              <w:tc>
                <w:tcPr/>
                <w:p>
                  <w:pPr>
                    <w:pStyle w:val="Compact"/>
                    <w:jc w:val="center"/>
                  </w:pPr>
                  <w:r>
                    <w:t xml:space="preserve">0.0032</w:t>
                  </w:r>
                </w:p>
              </w:tc>
              <w:tc>
                <w:tcPr/>
                <w:p>
                  <w:pPr>
                    <w:pStyle w:val="Compact"/>
                    <w:jc w:val="center"/>
                  </w:pPr>
                  <w:r>
                    <w:t xml:space="preserve">10</w:t>
                  </w:r>
                </w:p>
              </w:tc>
              <w:tc>
                <w:tcPr/>
                <w:p>
                  <w:pPr>
                    <w:pStyle w:val="Compact"/>
                    <w:jc w:val="center"/>
                  </w:pPr>
                  <w:r>
                    <w:t xml:space="preserve">9</w:t>
                  </w:r>
                </w:p>
              </w:tc>
            </w:tr>
            <w:tr>
              <w:tc>
                <w:tcPr/>
                <w:p>
                  <w:pPr>
                    <w:pStyle w:val="Compact"/>
                    <w:jc w:val="center"/>
                  </w:pPr>
                  <w:r>
                    <w:t xml:space="preserve">accuracy</w:t>
                  </w:r>
                </w:p>
              </w:tc>
              <w:tc>
                <w:tcPr/>
                <w:p>
                  <w:pPr>
                    <w:pStyle w:val="Compact"/>
                    <w:jc w:val="center"/>
                  </w:pPr>
                  <w:r>
                    <w:t xml:space="preserve">22</w:t>
                  </w:r>
                </w:p>
              </w:tc>
              <w:tc>
                <w:tcPr/>
                <w:p>
                  <w:pPr>
                    <w:pStyle w:val="Compact"/>
                    <w:jc w:val="center"/>
                  </w:pPr>
                  <w:r>
                    <w:t xml:space="preserve">800</w:t>
                  </w:r>
                </w:p>
              </w:tc>
              <w:tc>
                <w:tcPr/>
                <w:p>
                  <w:pPr>
                    <w:pStyle w:val="Compact"/>
                    <w:jc w:val="center"/>
                  </w:pPr>
                  <w:r>
                    <w:t xml:space="preserve">0.6071</w:t>
                  </w:r>
                </w:p>
              </w:tc>
              <w:tc>
                <w:tcPr/>
                <w:p>
                  <w:pPr>
                    <w:pStyle w:val="Compact"/>
                    <w:jc w:val="center"/>
                  </w:pPr>
                  <w:r>
                    <w:t xml:space="preserve">0.0051</w:t>
                  </w:r>
                </w:p>
              </w:tc>
              <w:tc>
                <w:tcPr/>
                <w:p>
                  <w:pPr>
                    <w:pStyle w:val="Compact"/>
                    <w:jc w:val="center"/>
                  </w:pPr>
                  <w:r>
                    <w:t xml:space="preserve">10</w:t>
                  </w:r>
                </w:p>
              </w:tc>
              <w:tc>
                <w:tcPr/>
                <w:p>
                  <w:pPr>
                    <w:pStyle w:val="Compact"/>
                    <w:jc w:val="center"/>
                  </w:pPr>
                  <w:r>
                    <w:t xml:space="preserve">10</w:t>
                  </w:r>
                </w:p>
              </w:tc>
            </w:tr>
            <w:tr>
              <w:tc>
                <w:tcPr/>
                <w:p>
                  <w:pPr>
                    <w:pStyle w:val="Compact"/>
                    <w:jc w:val="center"/>
                  </w:pPr>
                  <w:r>
                    <w:t xml:space="preserve">accuracy</w:t>
                  </w:r>
                </w:p>
              </w:tc>
              <w:tc>
                <w:tcPr/>
                <w:p>
                  <w:pPr>
                    <w:pStyle w:val="Compact"/>
                    <w:jc w:val="center"/>
                  </w:pPr>
                  <w:r>
                    <w:t xml:space="preserve">16</w:t>
                  </w:r>
                </w:p>
              </w:tc>
              <w:tc>
                <w:tcPr/>
                <w:p>
                  <w:pPr>
                    <w:pStyle w:val="Compact"/>
                    <w:jc w:val="center"/>
                  </w:pPr>
                  <w:r>
                    <w:t xml:space="preserve">200</w:t>
                  </w:r>
                </w:p>
              </w:tc>
              <w:tc>
                <w:tcPr/>
                <w:p>
                  <w:pPr>
                    <w:pStyle w:val="Compact"/>
                    <w:jc w:val="center"/>
                  </w:pPr>
                  <w:r>
                    <w:t xml:space="preserve">0.6066</w:t>
                  </w:r>
                </w:p>
              </w:tc>
              <w:tc>
                <w:tcPr/>
                <w:p>
                  <w:pPr>
                    <w:pStyle w:val="Compact"/>
                    <w:jc w:val="center"/>
                  </w:pPr>
                  <w:r>
                    <w:t xml:space="preserve">0.0084</w:t>
                  </w:r>
                </w:p>
              </w:tc>
              <w:tc>
                <w:tcPr/>
                <w:p>
                  <w:pPr>
                    <w:pStyle w:val="Compact"/>
                    <w:jc w:val="center"/>
                  </w:pPr>
                  <w:r>
                    <w:t xml:space="preserve">10</w:t>
                  </w:r>
                </w:p>
              </w:tc>
              <w:tc>
                <w:tcPr/>
                <w:p>
                  <w:pPr>
                    <w:pStyle w:val="Compact"/>
                    <w:jc w:val="center"/>
                  </w:pPr>
                  <w:r>
                    <w:t xml:space="preserve">11</w:t>
                  </w:r>
                </w:p>
              </w:tc>
            </w:tr>
            <w:tr>
              <w:tc>
                <w:tcPr/>
                <w:p>
                  <w:pPr>
                    <w:pStyle w:val="Compact"/>
                    <w:jc w:val="center"/>
                  </w:pPr>
                  <w:r>
                    <w:t xml:space="preserve">accuracy</w:t>
                  </w:r>
                </w:p>
              </w:tc>
              <w:tc>
                <w:tcPr/>
                <w:p>
                  <w:pPr>
                    <w:pStyle w:val="Compact"/>
                    <w:jc w:val="center"/>
                  </w:pPr>
                  <w:r>
                    <w:t xml:space="preserve">29</w:t>
                  </w:r>
                </w:p>
              </w:tc>
              <w:tc>
                <w:tcPr/>
                <w:p>
                  <w:pPr>
                    <w:pStyle w:val="Compact"/>
                    <w:jc w:val="center"/>
                  </w:pPr>
                  <w:r>
                    <w:t xml:space="preserve">500</w:t>
                  </w:r>
                </w:p>
              </w:tc>
              <w:tc>
                <w:tcPr/>
                <w:p>
                  <w:pPr>
                    <w:pStyle w:val="Compact"/>
                    <w:jc w:val="center"/>
                  </w:pPr>
                  <w:r>
                    <w:t xml:space="preserve">0.6053</w:t>
                  </w:r>
                </w:p>
              </w:tc>
              <w:tc>
                <w:tcPr/>
                <w:p>
                  <w:pPr>
                    <w:pStyle w:val="Compact"/>
                    <w:jc w:val="center"/>
                  </w:pPr>
                  <w:r>
                    <w:t xml:space="preserve">0.0087</w:t>
                  </w:r>
                </w:p>
              </w:tc>
              <w:tc>
                <w:tcPr/>
                <w:p>
                  <w:pPr>
                    <w:pStyle w:val="Compact"/>
                    <w:jc w:val="center"/>
                  </w:pPr>
                  <w:r>
                    <w:t xml:space="preserve">10</w:t>
                  </w:r>
                </w:p>
              </w:tc>
              <w:tc>
                <w:tcPr/>
                <w:p>
                  <w:pPr>
                    <w:pStyle w:val="Compact"/>
                    <w:jc w:val="center"/>
                  </w:pPr>
                  <w:r>
                    <w:t xml:space="preserve">12</w:t>
                  </w:r>
                </w:p>
              </w:tc>
            </w:tr>
            <w:tr>
              <w:tc>
                <w:tcPr/>
                <w:p>
                  <w:pPr>
                    <w:pStyle w:val="Compact"/>
                    <w:jc w:val="center"/>
                  </w:pPr>
                  <w:r>
                    <w:t xml:space="preserve">f_meas</w:t>
                  </w:r>
                </w:p>
              </w:tc>
              <w:tc>
                <w:tcPr/>
                <w:p>
                  <w:pPr>
                    <w:pStyle w:val="Compact"/>
                    <w:jc w:val="center"/>
                  </w:pPr>
                  <w:r>
                    <w:t xml:space="preserve">29</w:t>
                  </w:r>
                </w:p>
              </w:tc>
              <w:tc>
                <w:tcPr/>
                <w:p>
                  <w:pPr>
                    <w:pStyle w:val="Compact"/>
                    <w:jc w:val="center"/>
                  </w:pPr>
                  <w:r>
                    <w:t xml:space="preserve">200</w:t>
                  </w:r>
                </w:p>
              </w:tc>
              <w:tc>
                <w:tcPr/>
                <w:p>
                  <w:pPr>
                    <w:pStyle w:val="Compact"/>
                    <w:jc w:val="center"/>
                  </w:pPr>
                  <w:r>
                    <w:t xml:space="preserve">0.3888</w:t>
                  </w:r>
                </w:p>
              </w:tc>
              <w:tc>
                <w:tcPr/>
                <w:p>
                  <w:pPr>
                    <w:pStyle w:val="Compact"/>
                    <w:jc w:val="center"/>
                  </w:pPr>
                  <w:r>
                    <w:t xml:space="preserve">0.0175</w:t>
                  </w:r>
                </w:p>
              </w:tc>
              <w:tc>
                <w:tcPr/>
                <w:p>
                  <w:pPr>
                    <w:pStyle w:val="Compact"/>
                    <w:jc w:val="center"/>
                  </w:pPr>
                  <w:r>
                    <w:t xml:space="preserve">10</w:t>
                  </w:r>
                </w:p>
              </w:tc>
              <w:tc>
                <w:tcPr/>
                <w:p>
                  <w:pPr>
                    <w:pStyle w:val="Compact"/>
                    <w:jc w:val="center"/>
                  </w:pPr>
                  <w:r>
                    <w:t xml:space="preserve">1</w:t>
                  </w:r>
                </w:p>
              </w:tc>
            </w:tr>
            <w:tr>
              <w:tc>
                <w:tcPr/>
                <w:p>
                  <w:pPr>
                    <w:pStyle w:val="Compact"/>
                    <w:jc w:val="center"/>
                  </w:pPr>
                  <w:r>
                    <w:t xml:space="preserve">f_meas</w:t>
                  </w:r>
                </w:p>
              </w:tc>
              <w:tc>
                <w:tcPr/>
                <w:p>
                  <w:pPr>
                    <w:pStyle w:val="Compact"/>
                    <w:jc w:val="center"/>
                  </w:pPr>
                  <w:r>
                    <w:t xml:space="preserve">22</w:t>
                  </w:r>
                </w:p>
              </w:tc>
              <w:tc>
                <w:tcPr/>
                <w:p>
                  <w:pPr>
                    <w:pStyle w:val="Compact"/>
                    <w:jc w:val="center"/>
                  </w:pPr>
                  <w:r>
                    <w:t xml:space="preserve">200</w:t>
                  </w:r>
                </w:p>
              </w:tc>
              <w:tc>
                <w:tcPr/>
                <w:p>
                  <w:pPr>
                    <w:pStyle w:val="Compact"/>
                    <w:jc w:val="center"/>
                  </w:pPr>
                  <w:r>
                    <w:t xml:space="preserve">0.3753</w:t>
                  </w:r>
                </w:p>
              </w:tc>
              <w:tc>
                <w:tcPr/>
                <w:p>
                  <w:pPr>
                    <w:pStyle w:val="Compact"/>
                    <w:jc w:val="center"/>
                  </w:pPr>
                  <w:r>
                    <w:t xml:space="preserve">0.0185</w:t>
                  </w:r>
                </w:p>
              </w:tc>
              <w:tc>
                <w:tcPr/>
                <w:p>
                  <w:pPr>
                    <w:pStyle w:val="Compact"/>
                    <w:jc w:val="center"/>
                  </w:pPr>
                  <w:r>
                    <w:t xml:space="preserve">10</w:t>
                  </w:r>
                </w:p>
              </w:tc>
              <w:tc>
                <w:tcPr/>
                <w:p>
                  <w:pPr>
                    <w:pStyle w:val="Compact"/>
                    <w:jc w:val="center"/>
                  </w:pPr>
                  <w:r>
                    <w:t xml:space="preserve">2</w:t>
                  </w:r>
                </w:p>
              </w:tc>
            </w:tr>
            <w:tr>
              <w:tc>
                <w:tcPr/>
                <w:p>
                  <w:pPr>
                    <w:pStyle w:val="Compact"/>
                    <w:jc w:val="center"/>
                  </w:pPr>
                  <w:r>
                    <w:t xml:space="preserve">f_meas</w:t>
                  </w:r>
                </w:p>
              </w:tc>
              <w:tc>
                <w:tcPr/>
                <w:p>
                  <w:pPr>
                    <w:pStyle w:val="Compact"/>
                    <w:jc w:val="center"/>
                  </w:pPr>
                  <w:r>
                    <w:t xml:space="preserve">16</w:t>
                  </w:r>
                </w:p>
              </w:tc>
              <w:tc>
                <w:tcPr/>
                <w:p>
                  <w:pPr>
                    <w:pStyle w:val="Compact"/>
                    <w:jc w:val="center"/>
                  </w:pPr>
                  <w:r>
                    <w:t xml:space="preserve">200</w:t>
                  </w:r>
                </w:p>
              </w:tc>
              <w:tc>
                <w:tcPr/>
                <w:p>
                  <w:pPr>
                    <w:pStyle w:val="Compact"/>
                    <w:jc w:val="center"/>
                  </w:pPr>
                  <w:r>
                    <w:t xml:space="preserve">0.3736</w:t>
                  </w:r>
                </w:p>
              </w:tc>
              <w:tc>
                <w:tcPr/>
                <w:p>
                  <w:pPr>
                    <w:pStyle w:val="Compact"/>
                    <w:jc w:val="center"/>
                  </w:pPr>
                  <w:r>
                    <w:t xml:space="preserve">0.0146</w:t>
                  </w:r>
                </w:p>
              </w:tc>
              <w:tc>
                <w:tcPr/>
                <w:p>
                  <w:pPr>
                    <w:pStyle w:val="Compact"/>
                    <w:jc w:val="center"/>
                  </w:pPr>
                  <w:r>
                    <w:t xml:space="preserve">10</w:t>
                  </w:r>
                </w:p>
              </w:tc>
              <w:tc>
                <w:tcPr/>
                <w:p>
                  <w:pPr>
                    <w:pStyle w:val="Compact"/>
                    <w:jc w:val="center"/>
                  </w:pPr>
                  <w:r>
                    <w:t xml:space="preserve">3</w:t>
                  </w:r>
                </w:p>
              </w:tc>
            </w:tr>
            <w:tr>
              <w:tc>
                <w:tcPr/>
                <w:p>
                  <w:pPr>
                    <w:pStyle w:val="Compact"/>
                    <w:jc w:val="center"/>
                  </w:pPr>
                  <w:r>
                    <w:t xml:space="preserve">f_meas</w:t>
                  </w:r>
                </w:p>
              </w:tc>
              <w:tc>
                <w:tcPr/>
                <w:p>
                  <w:pPr>
                    <w:pStyle w:val="Compact"/>
                    <w:jc w:val="center"/>
                  </w:pPr>
                  <w:r>
                    <w:t xml:space="preserve">10</w:t>
                  </w:r>
                </w:p>
              </w:tc>
              <w:tc>
                <w:tcPr/>
                <w:p>
                  <w:pPr>
                    <w:pStyle w:val="Compact"/>
                    <w:jc w:val="center"/>
                  </w:pPr>
                  <w:r>
                    <w:t xml:space="preserve">200</w:t>
                  </w:r>
                </w:p>
              </w:tc>
              <w:tc>
                <w:tcPr/>
                <w:p>
                  <w:pPr>
                    <w:pStyle w:val="Compact"/>
                    <w:jc w:val="center"/>
                  </w:pPr>
                  <w:r>
                    <w:t xml:space="preserve">0.3655</w:t>
                  </w:r>
                </w:p>
              </w:tc>
              <w:tc>
                <w:tcPr/>
                <w:p>
                  <w:pPr>
                    <w:pStyle w:val="Compact"/>
                    <w:jc w:val="center"/>
                  </w:pPr>
                  <w:r>
                    <w:t xml:space="preserve">0.0155</w:t>
                  </w:r>
                </w:p>
              </w:tc>
              <w:tc>
                <w:tcPr/>
                <w:p>
                  <w:pPr>
                    <w:pStyle w:val="Compact"/>
                    <w:jc w:val="center"/>
                  </w:pPr>
                  <w:r>
                    <w:t xml:space="preserve">10</w:t>
                  </w:r>
                </w:p>
              </w:tc>
              <w:tc>
                <w:tcPr/>
                <w:p>
                  <w:pPr>
                    <w:pStyle w:val="Compact"/>
                    <w:jc w:val="center"/>
                  </w:pPr>
                  <w:r>
                    <w:t xml:space="preserve">4</w:t>
                  </w:r>
                </w:p>
              </w:tc>
            </w:tr>
            <w:tr>
              <w:tc>
                <w:tcPr/>
                <w:p>
                  <w:pPr>
                    <w:pStyle w:val="Compact"/>
                    <w:jc w:val="center"/>
                  </w:pPr>
                  <w:r>
                    <w:t xml:space="preserve">f_meas</w:t>
                  </w:r>
                </w:p>
              </w:tc>
              <w:tc>
                <w:tcPr/>
                <w:p>
                  <w:pPr>
                    <w:pStyle w:val="Compact"/>
                    <w:jc w:val="center"/>
                  </w:pPr>
                  <w:r>
                    <w:t xml:space="preserve">22</w:t>
                  </w:r>
                </w:p>
              </w:tc>
              <w:tc>
                <w:tcPr/>
                <w:p>
                  <w:pPr>
                    <w:pStyle w:val="Compact"/>
                    <w:jc w:val="center"/>
                  </w:pPr>
                  <w:r>
                    <w:t xml:space="preserve">500</w:t>
                  </w:r>
                </w:p>
              </w:tc>
              <w:tc>
                <w:tcPr/>
                <w:p>
                  <w:pPr>
                    <w:pStyle w:val="Compact"/>
                    <w:jc w:val="center"/>
                  </w:pPr>
                  <w:r>
                    <w:t xml:space="preserve">0.3459</w:t>
                  </w:r>
                </w:p>
              </w:tc>
              <w:tc>
                <w:tcPr/>
                <w:p>
                  <w:pPr>
                    <w:pStyle w:val="Compact"/>
                    <w:jc w:val="center"/>
                  </w:pPr>
                  <w:r>
                    <w:t xml:space="preserve">0.0158</w:t>
                  </w:r>
                </w:p>
              </w:tc>
              <w:tc>
                <w:tcPr/>
                <w:p>
                  <w:pPr>
                    <w:pStyle w:val="Compact"/>
                    <w:jc w:val="center"/>
                  </w:pPr>
                  <w:r>
                    <w:t xml:space="preserve">10</w:t>
                  </w:r>
                </w:p>
              </w:tc>
              <w:tc>
                <w:tcPr/>
                <w:p>
                  <w:pPr>
                    <w:pStyle w:val="Compact"/>
                    <w:jc w:val="center"/>
                  </w:pPr>
                  <w:r>
                    <w:t xml:space="preserve">5</w:t>
                  </w:r>
                </w:p>
              </w:tc>
            </w:tr>
            <w:tr>
              <w:tc>
                <w:tcPr/>
                <w:p>
                  <w:pPr>
                    <w:pStyle w:val="Compact"/>
                    <w:jc w:val="center"/>
                  </w:pPr>
                  <w:r>
                    <w:t xml:space="preserve">f_meas</w:t>
                  </w:r>
                </w:p>
              </w:tc>
              <w:tc>
                <w:tcPr/>
                <w:p>
                  <w:pPr>
                    <w:pStyle w:val="Compact"/>
                    <w:jc w:val="center"/>
                  </w:pPr>
                  <w:r>
                    <w:t xml:space="preserve">29</w:t>
                  </w:r>
                </w:p>
              </w:tc>
              <w:tc>
                <w:tcPr/>
                <w:p>
                  <w:pPr>
                    <w:pStyle w:val="Compact"/>
                    <w:jc w:val="center"/>
                  </w:pPr>
                  <w:r>
                    <w:t xml:space="preserve">500</w:t>
                  </w:r>
                </w:p>
              </w:tc>
              <w:tc>
                <w:tcPr/>
                <w:p>
                  <w:pPr>
                    <w:pStyle w:val="Compact"/>
                    <w:jc w:val="center"/>
                  </w:pPr>
                  <w:r>
                    <w:t xml:space="preserve">0.3425</w:t>
                  </w:r>
                </w:p>
              </w:tc>
              <w:tc>
                <w:tcPr/>
                <w:p>
                  <w:pPr>
                    <w:pStyle w:val="Compact"/>
                    <w:jc w:val="center"/>
                  </w:pPr>
                  <w:r>
                    <w:t xml:space="preserve">0.0152</w:t>
                  </w:r>
                </w:p>
              </w:tc>
              <w:tc>
                <w:tcPr/>
                <w:p>
                  <w:pPr>
                    <w:pStyle w:val="Compact"/>
                    <w:jc w:val="center"/>
                  </w:pPr>
                  <w:r>
                    <w:t xml:space="preserve">10</w:t>
                  </w:r>
                </w:p>
              </w:tc>
              <w:tc>
                <w:tcPr/>
                <w:p>
                  <w:pPr>
                    <w:pStyle w:val="Compact"/>
                    <w:jc w:val="center"/>
                  </w:pPr>
                  <w:r>
                    <w:t xml:space="preserve">6</w:t>
                  </w:r>
                </w:p>
              </w:tc>
            </w:tr>
            <w:tr>
              <w:tc>
                <w:tcPr/>
                <w:p>
                  <w:pPr>
                    <w:pStyle w:val="Compact"/>
                    <w:jc w:val="center"/>
                  </w:pPr>
                  <w:r>
                    <w:t xml:space="preserve">f_meas</w:t>
                  </w:r>
                </w:p>
              </w:tc>
              <w:tc>
                <w:tcPr/>
                <w:p>
                  <w:pPr>
                    <w:pStyle w:val="Compact"/>
                    <w:jc w:val="center"/>
                  </w:pPr>
                  <w:r>
                    <w:t xml:space="preserve">16</w:t>
                  </w:r>
                </w:p>
              </w:tc>
              <w:tc>
                <w:tcPr/>
                <w:p>
                  <w:pPr>
                    <w:pStyle w:val="Compact"/>
                    <w:jc w:val="center"/>
                  </w:pPr>
                  <w:r>
                    <w:t xml:space="preserve">500</w:t>
                  </w:r>
                </w:p>
              </w:tc>
              <w:tc>
                <w:tcPr/>
                <w:p>
                  <w:pPr>
                    <w:pStyle w:val="Compact"/>
                    <w:jc w:val="center"/>
                  </w:pPr>
                  <w:r>
                    <w:t xml:space="preserve">0.3222</w:t>
                  </w:r>
                </w:p>
              </w:tc>
              <w:tc>
                <w:tcPr/>
                <w:p>
                  <w:pPr>
                    <w:pStyle w:val="Compact"/>
                    <w:jc w:val="center"/>
                  </w:pPr>
                  <w:r>
                    <w:t xml:space="preserve">0.0176</w:t>
                  </w:r>
                </w:p>
              </w:tc>
              <w:tc>
                <w:tcPr/>
                <w:p>
                  <w:pPr>
                    <w:pStyle w:val="Compact"/>
                    <w:jc w:val="center"/>
                  </w:pPr>
                  <w:r>
                    <w:t xml:space="preserve">10</w:t>
                  </w:r>
                </w:p>
              </w:tc>
              <w:tc>
                <w:tcPr/>
                <w:p>
                  <w:pPr>
                    <w:pStyle w:val="Compact"/>
                    <w:jc w:val="center"/>
                  </w:pPr>
                  <w:r>
                    <w:t xml:space="preserve">7</w:t>
                  </w:r>
                </w:p>
              </w:tc>
            </w:tr>
            <w:tr>
              <w:tc>
                <w:tcPr/>
                <w:p>
                  <w:pPr>
                    <w:pStyle w:val="Compact"/>
                    <w:jc w:val="center"/>
                  </w:pPr>
                  <w:r>
                    <w:t xml:space="preserve">f_meas</w:t>
                  </w:r>
                </w:p>
              </w:tc>
              <w:tc>
                <w:tcPr/>
                <w:p>
                  <w:pPr>
                    <w:pStyle w:val="Compact"/>
                    <w:jc w:val="center"/>
                  </w:pPr>
                  <w:r>
                    <w:t xml:space="preserve">10</w:t>
                  </w:r>
                </w:p>
              </w:tc>
              <w:tc>
                <w:tcPr/>
                <w:p>
                  <w:pPr>
                    <w:pStyle w:val="Compact"/>
                    <w:jc w:val="center"/>
                  </w:pPr>
                  <w:r>
                    <w:t xml:space="preserve">500</w:t>
                  </w:r>
                </w:p>
              </w:tc>
              <w:tc>
                <w:tcPr/>
                <w:p>
                  <w:pPr>
                    <w:pStyle w:val="Compact"/>
                    <w:jc w:val="center"/>
                  </w:pPr>
                  <w:r>
                    <w:t xml:space="preserve">0.2867</w:t>
                  </w:r>
                </w:p>
              </w:tc>
              <w:tc>
                <w:tcPr/>
                <w:p>
                  <w:pPr>
                    <w:pStyle w:val="Compact"/>
                    <w:jc w:val="center"/>
                  </w:pPr>
                  <w:r>
                    <w:t xml:space="preserve">0.0200</w:t>
                  </w:r>
                </w:p>
              </w:tc>
              <w:tc>
                <w:tcPr/>
                <w:p>
                  <w:pPr>
                    <w:pStyle w:val="Compact"/>
                    <w:jc w:val="center"/>
                  </w:pPr>
                  <w:r>
                    <w:t xml:space="preserve">10</w:t>
                  </w:r>
                </w:p>
              </w:tc>
              <w:tc>
                <w:tcPr/>
                <w:p>
                  <w:pPr>
                    <w:pStyle w:val="Compact"/>
                    <w:jc w:val="center"/>
                  </w:pPr>
                  <w:r>
                    <w:t xml:space="preserve">8</w:t>
                  </w:r>
                </w:p>
              </w:tc>
            </w:tr>
            <w:tr>
              <w:tc>
                <w:tcPr/>
                <w:p>
                  <w:pPr>
                    <w:pStyle w:val="Compact"/>
                    <w:jc w:val="center"/>
                  </w:pPr>
                  <w:r>
                    <w:t xml:space="preserve">f_meas</w:t>
                  </w:r>
                </w:p>
              </w:tc>
              <w:tc>
                <w:tcPr/>
                <w:p>
                  <w:pPr>
                    <w:pStyle w:val="Compact"/>
                    <w:jc w:val="center"/>
                  </w:pPr>
                  <w:r>
                    <w:t xml:space="preserve">29</w:t>
                  </w:r>
                </w:p>
              </w:tc>
              <w:tc>
                <w:tcPr/>
                <w:p>
                  <w:pPr>
                    <w:pStyle w:val="Compact"/>
                    <w:jc w:val="center"/>
                  </w:pPr>
                  <w:r>
                    <w:t xml:space="preserve">800</w:t>
                  </w:r>
                </w:p>
              </w:tc>
              <w:tc>
                <w:tcPr/>
                <w:p>
                  <w:pPr>
                    <w:pStyle w:val="Compact"/>
                    <w:jc w:val="center"/>
                  </w:pPr>
                  <w:r>
                    <w:t xml:space="preserve">0.2367</w:t>
                  </w:r>
                </w:p>
              </w:tc>
              <w:tc>
                <w:tcPr/>
                <w:p>
                  <w:pPr>
                    <w:pStyle w:val="Compact"/>
                    <w:jc w:val="center"/>
                  </w:pPr>
                  <w:r>
                    <w:t xml:space="preserve">0.0157</w:t>
                  </w:r>
                </w:p>
              </w:tc>
              <w:tc>
                <w:tcPr/>
                <w:p>
                  <w:pPr>
                    <w:pStyle w:val="Compact"/>
                    <w:jc w:val="center"/>
                  </w:pPr>
                  <w:r>
                    <w:t xml:space="preserve">10</w:t>
                  </w:r>
                </w:p>
              </w:tc>
              <w:tc>
                <w:tcPr/>
                <w:p>
                  <w:pPr>
                    <w:pStyle w:val="Compact"/>
                    <w:jc w:val="center"/>
                  </w:pPr>
                  <w:r>
                    <w:t xml:space="preserve">9</w:t>
                  </w:r>
                </w:p>
              </w:tc>
            </w:tr>
            <w:tr>
              <w:tc>
                <w:tcPr/>
                <w:p>
                  <w:pPr>
                    <w:pStyle w:val="Compact"/>
                    <w:jc w:val="center"/>
                  </w:pPr>
                  <w:r>
                    <w:t xml:space="preserve">f_meas</w:t>
                  </w:r>
                </w:p>
              </w:tc>
              <w:tc>
                <w:tcPr/>
                <w:p>
                  <w:pPr>
                    <w:pStyle w:val="Compact"/>
                    <w:jc w:val="center"/>
                  </w:pPr>
                  <w:r>
                    <w:t xml:space="preserve">22</w:t>
                  </w:r>
                </w:p>
              </w:tc>
              <w:tc>
                <w:tcPr/>
                <w:p>
                  <w:pPr>
                    <w:pStyle w:val="Compact"/>
                    <w:jc w:val="center"/>
                  </w:pPr>
                  <w:r>
                    <w:t xml:space="preserve">800</w:t>
                  </w:r>
                </w:p>
              </w:tc>
              <w:tc>
                <w:tcPr/>
                <w:p>
                  <w:pPr>
                    <w:pStyle w:val="Compact"/>
                    <w:jc w:val="center"/>
                  </w:pPr>
                  <w:r>
                    <w:t xml:space="preserve">0.2266</w:t>
                  </w:r>
                </w:p>
              </w:tc>
              <w:tc>
                <w:tcPr/>
                <w:p>
                  <w:pPr>
                    <w:pStyle w:val="Compact"/>
                    <w:jc w:val="center"/>
                  </w:pPr>
                  <w:r>
                    <w:t xml:space="preserve">0.0194</w:t>
                  </w:r>
                </w:p>
              </w:tc>
              <w:tc>
                <w:tcPr/>
                <w:p>
                  <w:pPr>
                    <w:pStyle w:val="Compact"/>
                    <w:jc w:val="center"/>
                  </w:pPr>
                  <w:r>
                    <w:t xml:space="preserve">10</w:t>
                  </w:r>
                </w:p>
              </w:tc>
              <w:tc>
                <w:tcPr/>
                <w:p>
                  <w:pPr>
                    <w:pStyle w:val="Compact"/>
                    <w:jc w:val="center"/>
                  </w:pPr>
                  <w:r>
                    <w:t xml:space="preserve">10</w:t>
                  </w:r>
                </w:p>
              </w:tc>
            </w:tr>
            <w:tr>
              <w:tc>
                <w:tcPr/>
                <w:p>
                  <w:pPr>
                    <w:pStyle w:val="Compact"/>
                    <w:jc w:val="center"/>
                  </w:pPr>
                  <w:r>
                    <w:t xml:space="preserve">f_meas</w:t>
                  </w:r>
                </w:p>
              </w:tc>
              <w:tc>
                <w:tcPr/>
                <w:p>
                  <w:pPr>
                    <w:pStyle w:val="Compact"/>
                    <w:jc w:val="center"/>
                  </w:pPr>
                  <w:r>
                    <w:t xml:space="preserve">16</w:t>
                  </w:r>
                </w:p>
              </w:tc>
              <w:tc>
                <w:tcPr/>
                <w:p>
                  <w:pPr>
                    <w:pStyle w:val="Compact"/>
                    <w:jc w:val="center"/>
                  </w:pPr>
                  <w:r>
                    <w:t xml:space="preserve">800</w:t>
                  </w:r>
                </w:p>
              </w:tc>
              <w:tc>
                <w:tcPr/>
                <w:p>
                  <w:pPr>
                    <w:pStyle w:val="Compact"/>
                    <w:jc w:val="center"/>
                  </w:pPr>
                  <w:r>
                    <w:t xml:space="preserve">0.2068</w:t>
                  </w:r>
                </w:p>
              </w:tc>
              <w:tc>
                <w:tcPr/>
                <w:p>
                  <w:pPr>
                    <w:pStyle w:val="Compact"/>
                    <w:jc w:val="center"/>
                  </w:pPr>
                  <w:r>
                    <w:t xml:space="preserve">0.0144</w:t>
                  </w:r>
                </w:p>
              </w:tc>
              <w:tc>
                <w:tcPr/>
                <w:p>
                  <w:pPr>
                    <w:pStyle w:val="Compact"/>
                    <w:jc w:val="center"/>
                  </w:pPr>
                  <w:r>
                    <w:t xml:space="preserve">10</w:t>
                  </w:r>
                </w:p>
              </w:tc>
              <w:tc>
                <w:tcPr/>
                <w:p>
                  <w:pPr>
                    <w:pStyle w:val="Compact"/>
                    <w:jc w:val="center"/>
                  </w:pPr>
                  <w:r>
                    <w:t xml:space="preserve">11</w:t>
                  </w:r>
                </w:p>
              </w:tc>
            </w:tr>
            <w:tr>
              <w:tc>
                <w:tcPr/>
                <w:p>
                  <w:pPr>
                    <w:pStyle w:val="Compact"/>
                    <w:jc w:val="center"/>
                  </w:pPr>
                  <w:r>
                    <w:t xml:space="preserve">f_meas</w:t>
                  </w:r>
                </w:p>
              </w:tc>
              <w:tc>
                <w:tcPr/>
                <w:p>
                  <w:pPr>
                    <w:pStyle w:val="Compact"/>
                    <w:jc w:val="center"/>
                  </w:pPr>
                  <w:r>
                    <w:t xml:space="preserve">10</w:t>
                  </w:r>
                </w:p>
              </w:tc>
              <w:tc>
                <w:tcPr/>
                <w:p>
                  <w:pPr>
                    <w:pStyle w:val="Compact"/>
                    <w:jc w:val="center"/>
                  </w:pPr>
                  <w:r>
                    <w:t xml:space="preserve">800</w:t>
                  </w:r>
                </w:p>
              </w:tc>
              <w:tc>
                <w:tcPr/>
                <w:p>
                  <w:pPr>
                    <w:pStyle w:val="Compact"/>
                    <w:jc w:val="center"/>
                  </w:pPr>
                  <w:r>
                    <w:t xml:space="preserve">0.1574</w:t>
                  </w:r>
                </w:p>
              </w:tc>
              <w:tc>
                <w:tcPr/>
                <w:p>
                  <w:pPr>
                    <w:pStyle w:val="Compact"/>
                    <w:jc w:val="center"/>
                  </w:pPr>
                  <w:r>
                    <w:t xml:space="preserve">0.0167</w:t>
                  </w:r>
                </w:p>
              </w:tc>
              <w:tc>
                <w:tcPr/>
                <w:p>
                  <w:pPr>
                    <w:pStyle w:val="Compact"/>
                    <w:jc w:val="center"/>
                  </w:pPr>
                  <w:r>
                    <w:t xml:space="preserve">10</w:t>
                  </w:r>
                </w:p>
              </w:tc>
              <w:tc>
                <w:tcPr/>
                <w:p>
                  <w:pPr>
                    <w:pStyle w:val="Compact"/>
                    <w:jc w:val="center"/>
                  </w:pPr>
                  <w:r>
                    <w:t xml:space="preserve">12</w:t>
                  </w:r>
                </w:p>
              </w:tc>
            </w:tr>
            <w:tr>
              <w:tc>
                <w:tcPr/>
                <w:p>
                  <w:pPr>
                    <w:pStyle w:val="Compact"/>
                    <w:jc w:val="center"/>
                  </w:pPr>
                  <w:r>
                    <w:t xml:space="preserve">roc_auc</w:t>
                  </w:r>
                </w:p>
              </w:tc>
              <w:tc>
                <w:tcPr/>
                <w:p>
                  <w:pPr>
                    <w:pStyle w:val="Compact"/>
                    <w:jc w:val="center"/>
                  </w:pPr>
                  <w:r>
                    <w:t xml:space="preserve">10</w:t>
                  </w:r>
                </w:p>
              </w:tc>
              <w:tc>
                <w:tcPr/>
                <w:p>
                  <w:pPr>
                    <w:pStyle w:val="Compact"/>
                    <w:jc w:val="center"/>
                  </w:pPr>
                  <w:r>
                    <w:t xml:space="preserve">500</w:t>
                  </w:r>
                </w:p>
              </w:tc>
              <w:tc>
                <w:tcPr/>
                <w:p>
                  <w:pPr>
                    <w:pStyle w:val="Compact"/>
                    <w:jc w:val="center"/>
                  </w:pPr>
                  <w:r>
                    <w:t xml:space="preserve">0.6158</w:t>
                  </w:r>
                </w:p>
              </w:tc>
              <w:tc>
                <w:tcPr/>
                <w:p>
                  <w:pPr>
                    <w:pStyle w:val="Compact"/>
                    <w:jc w:val="center"/>
                  </w:pPr>
                  <w:r>
                    <w:t xml:space="preserve">0.0097</w:t>
                  </w:r>
                </w:p>
              </w:tc>
              <w:tc>
                <w:tcPr/>
                <w:p>
                  <w:pPr>
                    <w:pStyle w:val="Compact"/>
                    <w:jc w:val="center"/>
                  </w:pPr>
                  <w:r>
                    <w:t xml:space="preserve">10</w:t>
                  </w:r>
                </w:p>
              </w:tc>
              <w:tc>
                <w:tcPr/>
                <w:p>
                  <w:pPr>
                    <w:pStyle w:val="Compact"/>
                    <w:jc w:val="center"/>
                  </w:pPr>
                  <w:r>
                    <w:t xml:space="preserve">1</w:t>
                  </w:r>
                </w:p>
              </w:tc>
            </w:tr>
            <w:tr>
              <w:tc>
                <w:tcPr/>
                <w:p>
                  <w:pPr>
                    <w:pStyle w:val="Compact"/>
                    <w:jc w:val="center"/>
                  </w:pPr>
                  <w:r>
                    <w:t xml:space="preserve">roc_auc</w:t>
                  </w:r>
                </w:p>
              </w:tc>
              <w:tc>
                <w:tcPr/>
                <w:p>
                  <w:pPr>
                    <w:pStyle w:val="Compact"/>
                    <w:jc w:val="center"/>
                  </w:pPr>
                  <w:r>
                    <w:t xml:space="preserve">10</w:t>
                  </w:r>
                </w:p>
              </w:tc>
              <w:tc>
                <w:tcPr/>
                <w:p>
                  <w:pPr>
                    <w:pStyle w:val="Compact"/>
                    <w:jc w:val="center"/>
                  </w:pPr>
                  <w:r>
                    <w:t xml:space="preserve">200</w:t>
                  </w:r>
                </w:p>
              </w:tc>
              <w:tc>
                <w:tcPr/>
                <w:p>
                  <w:pPr>
                    <w:pStyle w:val="Compact"/>
                    <w:jc w:val="center"/>
                  </w:pPr>
                  <w:r>
                    <w:t xml:space="preserve">0.6155</w:t>
                  </w:r>
                </w:p>
              </w:tc>
              <w:tc>
                <w:tcPr/>
                <w:p>
                  <w:pPr>
                    <w:pStyle w:val="Compact"/>
                    <w:jc w:val="center"/>
                  </w:pPr>
                  <w:r>
                    <w:t xml:space="preserve">0.0111</w:t>
                  </w:r>
                </w:p>
              </w:tc>
              <w:tc>
                <w:tcPr/>
                <w:p>
                  <w:pPr>
                    <w:pStyle w:val="Compact"/>
                    <w:jc w:val="center"/>
                  </w:pPr>
                  <w:r>
                    <w:t xml:space="preserve">10</w:t>
                  </w:r>
                </w:p>
              </w:tc>
              <w:tc>
                <w:tcPr/>
                <w:p>
                  <w:pPr>
                    <w:pStyle w:val="Compact"/>
                    <w:jc w:val="center"/>
                  </w:pPr>
                  <w:r>
                    <w:t xml:space="preserve">2</w:t>
                  </w:r>
                </w:p>
              </w:tc>
            </w:tr>
            <w:tr>
              <w:tc>
                <w:tcPr/>
                <w:p>
                  <w:pPr>
                    <w:pStyle w:val="Compact"/>
                    <w:jc w:val="center"/>
                  </w:pPr>
                  <w:r>
                    <w:t xml:space="preserve">roc_auc</w:t>
                  </w:r>
                </w:p>
              </w:tc>
              <w:tc>
                <w:tcPr/>
                <w:p>
                  <w:pPr>
                    <w:pStyle w:val="Compact"/>
                    <w:jc w:val="center"/>
                  </w:pPr>
                  <w:r>
                    <w:t xml:space="preserve">16</w:t>
                  </w:r>
                </w:p>
              </w:tc>
              <w:tc>
                <w:tcPr/>
                <w:p>
                  <w:pPr>
                    <w:pStyle w:val="Compact"/>
                    <w:jc w:val="center"/>
                  </w:pPr>
                  <w:r>
                    <w:t xml:space="preserve">500</w:t>
                  </w:r>
                </w:p>
              </w:tc>
              <w:tc>
                <w:tcPr/>
                <w:p>
                  <w:pPr>
                    <w:pStyle w:val="Compact"/>
                    <w:jc w:val="center"/>
                  </w:pPr>
                  <w:r>
                    <w:t xml:space="preserve">0.6153</w:t>
                  </w:r>
                </w:p>
              </w:tc>
              <w:tc>
                <w:tcPr/>
                <w:p>
                  <w:pPr>
                    <w:pStyle w:val="Compact"/>
                    <w:jc w:val="center"/>
                  </w:pPr>
                  <w:r>
                    <w:t xml:space="preserve">0.0102</w:t>
                  </w:r>
                </w:p>
              </w:tc>
              <w:tc>
                <w:tcPr/>
                <w:p>
                  <w:pPr>
                    <w:pStyle w:val="Compact"/>
                    <w:jc w:val="center"/>
                  </w:pPr>
                  <w:r>
                    <w:t xml:space="preserve">10</w:t>
                  </w:r>
                </w:p>
              </w:tc>
              <w:tc>
                <w:tcPr/>
                <w:p>
                  <w:pPr>
                    <w:pStyle w:val="Compact"/>
                    <w:jc w:val="center"/>
                  </w:pPr>
                  <w:r>
                    <w:t xml:space="preserve">3</w:t>
                  </w:r>
                </w:p>
              </w:tc>
            </w:tr>
            <w:tr>
              <w:tc>
                <w:tcPr/>
                <w:p>
                  <w:pPr>
                    <w:pStyle w:val="Compact"/>
                    <w:jc w:val="center"/>
                  </w:pPr>
                  <w:r>
                    <w:t xml:space="preserve">roc_auc</w:t>
                  </w:r>
                </w:p>
              </w:tc>
              <w:tc>
                <w:tcPr/>
                <w:p>
                  <w:pPr>
                    <w:pStyle w:val="Compact"/>
                    <w:jc w:val="center"/>
                  </w:pPr>
                  <w:r>
                    <w:t xml:space="preserve">22</w:t>
                  </w:r>
                </w:p>
              </w:tc>
              <w:tc>
                <w:tcPr/>
                <w:p>
                  <w:pPr>
                    <w:pStyle w:val="Compact"/>
                    <w:jc w:val="center"/>
                  </w:pPr>
                  <w:r>
                    <w:t xml:space="preserve">500</w:t>
                  </w:r>
                </w:p>
              </w:tc>
              <w:tc>
                <w:tcPr/>
                <w:p>
                  <w:pPr>
                    <w:pStyle w:val="Compact"/>
                    <w:jc w:val="center"/>
                  </w:pPr>
                  <w:r>
                    <w:t xml:space="preserve">0.6146</w:t>
                  </w:r>
                </w:p>
              </w:tc>
              <w:tc>
                <w:tcPr/>
                <w:p>
                  <w:pPr>
                    <w:pStyle w:val="Compact"/>
                    <w:jc w:val="center"/>
                  </w:pPr>
                  <w:r>
                    <w:t xml:space="preserve">0.0100</w:t>
                  </w:r>
                </w:p>
              </w:tc>
              <w:tc>
                <w:tcPr/>
                <w:p>
                  <w:pPr>
                    <w:pStyle w:val="Compact"/>
                    <w:jc w:val="center"/>
                  </w:pPr>
                  <w:r>
                    <w:t xml:space="preserve">10</w:t>
                  </w:r>
                </w:p>
              </w:tc>
              <w:tc>
                <w:tcPr/>
                <w:p>
                  <w:pPr>
                    <w:pStyle w:val="Compact"/>
                    <w:jc w:val="center"/>
                  </w:pPr>
                  <w:r>
                    <w:t xml:space="preserve">4</w:t>
                  </w:r>
                </w:p>
              </w:tc>
            </w:tr>
            <w:tr>
              <w:tc>
                <w:tcPr/>
                <w:p>
                  <w:pPr>
                    <w:pStyle w:val="Compact"/>
                    <w:jc w:val="center"/>
                  </w:pPr>
                  <w:r>
                    <w:t xml:space="preserve">roc_auc</w:t>
                  </w:r>
                </w:p>
              </w:tc>
              <w:tc>
                <w:tcPr/>
                <w:p>
                  <w:pPr>
                    <w:pStyle w:val="Compact"/>
                    <w:jc w:val="center"/>
                  </w:pPr>
                  <w:r>
                    <w:t xml:space="preserve">29</w:t>
                  </w:r>
                </w:p>
              </w:tc>
              <w:tc>
                <w:tcPr/>
                <w:p>
                  <w:pPr>
                    <w:pStyle w:val="Compact"/>
                    <w:jc w:val="center"/>
                  </w:pPr>
                  <w:r>
                    <w:t xml:space="preserve">500</w:t>
                  </w:r>
                </w:p>
              </w:tc>
              <w:tc>
                <w:tcPr/>
                <w:p>
                  <w:pPr>
                    <w:pStyle w:val="Compact"/>
                    <w:jc w:val="center"/>
                  </w:pPr>
                  <w:r>
                    <w:t xml:space="preserve">0.6141</w:t>
                  </w:r>
                </w:p>
              </w:tc>
              <w:tc>
                <w:tcPr/>
                <w:p>
                  <w:pPr>
                    <w:pStyle w:val="Compact"/>
                    <w:jc w:val="center"/>
                  </w:pPr>
                  <w:r>
                    <w:t xml:space="preserve">0.0099</w:t>
                  </w:r>
                </w:p>
              </w:tc>
              <w:tc>
                <w:tcPr/>
                <w:p>
                  <w:pPr>
                    <w:pStyle w:val="Compact"/>
                    <w:jc w:val="center"/>
                  </w:pPr>
                  <w:r>
                    <w:t xml:space="preserve">10</w:t>
                  </w:r>
                </w:p>
              </w:tc>
              <w:tc>
                <w:tcPr/>
                <w:p>
                  <w:pPr>
                    <w:pStyle w:val="Compact"/>
                    <w:jc w:val="center"/>
                  </w:pPr>
                  <w:r>
                    <w:t xml:space="preserve">5</w:t>
                  </w:r>
                </w:p>
              </w:tc>
            </w:tr>
            <w:tr>
              <w:tc>
                <w:tcPr/>
                <w:p>
                  <w:pPr>
                    <w:pStyle w:val="Compact"/>
                    <w:jc w:val="center"/>
                  </w:pPr>
                  <w:r>
                    <w:t xml:space="preserve">roc_auc</w:t>
                  </w:r>
                </w:p>
              </w:tc>
              <w:tc>
                <w:tcPr/>
                <w:p>
                  <w:pPr>
                    <w:pStyle w:val="Compact"/>
                    <w:jc w:val="center"/>
                  </w:pPr>
                  <w:r>
                    <w:t xml:space="preserve">16</w:t>
                  </w:r>
                </w:p>
              </w:tc>
              <w:tc>
                <w:tcPr/>
                <w:p>
                  <w:pPr>
                    <w:pStyle w:val="Compact"/>
                    <w:jc w:val="center"/>
                  </w:pPr>
                  <w:r>
                    <w:t xml:space="preserve">200</w:t>
                  </w:r>
                </w:p>
              </w:tc>
              <w:tc>
                <w:tcPr/>
                <w:p>
                  <w:pPr>
                    <w:pStyle w:val="Compact"/>
                    <w:jc w:val="center"/>
                  </w:pPr>
                  <w:r>
                    <w:t xml:space="preserve">0.6140</w:t>
                  </w:r>
                </w:p>
              </w:tc>
              <w:tc>
                <w:tcPr/>
                <w:p>
                  <w:pPr>
                    <w:pStyle w:val="Compact"/>
                    <w:jc w:val="center"/>
                  </w:pPr>
                  <w:r>
                    <w:t xml:space="preserve">0.0104</w:t>
                  </w:r>
                </w:p>
              </w:tc>
              <w:tc>
                <w:tcPr/>
                <w:p>
                  <w:pPr>
                    <w:pStyle w:val="Compact"/>
                    <w:jc w:val="center"/>
                  </w:pPr>
                  <w:r>
                    <w:t xml:space="preserve">10</w:t>
                  </w:r>
                </w:p>
              </w:tc>
              <w:tc>
                <w:tcPr/>
                <w:p>
                  <w:pPr>
                    <w:pStyle w:val="Compact"/>
                    <w:jc w:val="center"/>
                  </w:pPr>
                  <w:r>
                    <w:t xml:space="preserve">6</w:t>
                  </w:r>
                </w:p>
              </w:tc>
            </w:tr>
            <w:tr>
              <w:tc>
                <w:tcPr/>
                <w:p>
                  <w:pPr>
                    <w:pStyle w:val="Compact"/>
                    <w:jc w:val="center"/>
                  </w:pPr>
                  <w:r>
                    <w:t xml:space="preserve">roc_auc</w:t>
                  </w:r>
                </w:p>
              </w:tc>
              <w:tc>
                <w:tcPr/>
                <w:p>
                  <w:pPr>
                    <w:pStyle w:val="Compact"/>
                    <w:jc w:val="center"/>
                  </w:pPr>
                  <w:r>
                    <w:t xml:space="preserve">22</w:t>
                  </w:r>
                </w:p>
              </w:tc>
              <w:tc>
                <w:tcPr/>
                <w:p>
                  <w:pPr>
                    <w:pStyle w:val="Compact"/>
                    <w:jc w:val="center"/>
                  </w:pPr>
                  <w:r>
                    <w:t xml:space="preserve">200</w:t>
                  </w:r>
                </w:p>
              </w:tc>
              <w:tc>
                <w:tcPr/>
                <w:p>
                  <w:pPr>
                    <w:pStyle w:val="Compact"/>
                    <w:jc w:val="center"/>
                  </w:pPr>
                  <w:r>
                    <w:t xml:space="preserve">0.6132</w:t>
                  </w:r>
                </w:p>
              </w:tc>
              <w:tc>
                <w:tcPr/>
                <w:p>
                  <w:pPr>
                    <w:pStyle w:val="Compact"/>
                    <w:jc w:val="center"/>
                  </w:pPr>
                  <w:r>
                    <w:t xml:space="preserve">0.0105</w:t>
                  </w:r>
                </w:p>
              </w:tc>
              <w:tc>
                <w:tcPr/>
                <w:p>
                  <w:pPr>
                    <w:pStyle w:val="Compact"/>
                    <w:jc w:val="center"/>
                  </w:pPr>
                  <w:r>
                    <w:t xml:space="preserve">10</w:t>
                  </w:r>
                </w:p>
              </w:tc>
              <w:tc>
                <w:tcPr/>
                <w:p>
                  <w:pPr>
                    <w:pStyle w:val="Compact"/>
                    <w:jc w:val="center"/>
                  </w:pPr>
                  <w:r>
                    <w:t xml:space="preserve">7</w:t>
                  </w:r>
                </w:p>
              </w:tc>
            </w:tr>
            <w:tr>
              <w:tc>
                <w:tcPr/>
                <w:p>
                  <w:pPr>
                    <w:pStyle w:val="Compact"/>
                    <w:jc w:val="center"/>
                  </w:pPr>
                  <w:r>
                    <w:t xml:space="preserve">roc_auc</w:t>
                  </w:r>
                </w:p>
              </w:tc>
              <w:tc>
                <w:tcPr/>
                <w:p>
                  <w:pPr>
                    <w:pStyle w:val="Compact"/>
                    <w:jc w:val="center"/>
                  </w:pPr>
                  <w:r>
                    <w:t xml:space="preserve">29</w:t>
                  </w:r>
                </w:p>
              </w:tc>
              <w:tc>
                <w:tcPr/>
                <w:p>
                  <w:pPr>
                    <w:pStyle w:val="Compact"/>
                    <w:jc w:val="center"/>
                  </w:pPr>
                  <w:r>
                    <w:t xml:space="preserve">200</w:t>
                  </w:r>
                </w:p>
              </w:tc>
              <w:tc>
                <w:tcPr/>
                <w:p>
                  <w:pPr>
                    <w:pStyle w:val="Compact"/>
                    <w:jc w:val="center"/>
                  </w:pPr>
                  <w:r>
                    <w:t xml:space="preserve">0.6126</w:t>
                  </w:r>
                </w:p>
              </w:tc>
              <w:tc>
                <w:tcPr/>
                <w:p>
                  <w:pPr>
                    <w:pStyle w:val="Compact"/>
                    <w:jc w:val="center"/>
                  </w:pPr>
                  <w:r>
                    <w:t xml:space="preserve">0.0103</w:t>
                  </w:r>
                </w:p>
              </w:tc>
              <w:tc>
                <w:tcPr/>
                <w:p>
                  <w:pPr>
                    <w:pStyle w:val="Compact"/>
                    <w:jc w:val="center"/>
                  </w:pPr>
                  <w:r>
                    <w:t xml:space="preserve">10</w:t>
                  </w:r>
                </w:p>
              </w:tc>
              <w:tc>
                <w:tcPr/>
                <w:p>
                  <w:pPr>
                    <w:pStyle w:val="Compact"/>
                    <w:jc w:val="center"/>
                  </w:pPr>
                  <w:r>
                    <w:t xml:space="preserve">8</w:t>
                  </w:r>
                </w:p>
              </w:tc>
            </w:tr>
            <w:tr>
              <w:tc>
                <w:tcPr/>
                <w:p>
                  <w:pPr>
                    <w:pStyle w:val="Compact"/>
                    <w:jc w:val="center"/>
                  </w:pPr>
                  <w:r>
                    <w:t xml:space="preserve">roc_auc</w:t>
                  </w:r>
                </w:p>
              </w:tc>
              <w:tc>
                <w:tcPr/>
                <w:p>
                  <w:pPr>
                    <w:pStyle w:val="Compact"/>
                    <w:jc w:val="center"/>
                  </w:pPr>
                  <w:r>
                    <w:t xml:space="preserve">10</w:t>
                  </w:r>
                </w:p>
              </w:tc>
              <w:tc>
                <w:tcPr/>
                <w:p>
                  <w:pPr>
                    <w:pStyle w:val="Compact"/>
                    <w:jc w:val="center"/>
                  </w:pPr>
                  <w:r>
                    <w:t xml:space="preserve">800</w:t>
                  </w:r>
                </w:p>
              </w:tc>
              <w:tc>
                <w:tcPr/>
                <w:p>
                  <w:pPr>
                    <w:pStyle w:val="Compact"/>
                    <w:jc w:val="center"/>
                  </w:pPr>
                  <w:r>
                    <w:t xml:space="preserve">0.6100</w:t>
                  </w:r>
                </w:p>
              </w:tc>
              <w:tc>
                <w:tcPr/>
                <w:p>
                  <w:pPr>
                    <w:pStyle w:val="Compact"/>
                    <w:jc w:val="center"/>
                  </w:pPr>
                  <w:r>
                    <w:t xml:space="preserve">0.0101</w:t>
                  </w:r>
                </w:p>
              </w:tc>
              <w:tc>
                <w:tcPr/>
                <w:p>
                  <w:pPr>
                    <w:pStyle w:val="Compact"/>
                    <w:jc w:val="center"/>
                  </w:pPr>
                  <w:r>
                    <w:t xml:space="preserve">10</w:t>
                  </w:r>
                </w:p>
              </w:tc>
              <w:tc>
                <w:tcPr/>
                <w:p>
                  <w:pPr>
                    <w:pStyle w:val="Compact"/>
                    <w:jc w:val="center"/>
                  </w:pPr>
                  <w:r>
                    <w:t xml:space="preserve">9</w:t>
                  </w:r>
                </w:p>
              </w:tc>
            </w:tr>
            <w:tr>
              <w:tc>
                <w:tcPr/>
                <w:p>
                  <w:pPr>
                    <w:pStyle w:val="Compact"/>
                    <w:jc w:val="center"/>
                  </w:pPr>
                  <w:r>
                    <w:t xml:space="preserve">roc_auc</w:t>
                  </w:r>
                </w:p>
              </w:tc>
              <w:tc>
                <w:tcPr/>
                <w:p>
                  <w:pPr>
                    <w:pStyle w:val="Compact"/>
                    <w:jc w:val="center"/>
                  </w:pPr>
                  <w:r>
                    <w:t xml:space="preserve">29</w:t>
                  </w:r>
                </w:p>
              </w:tc>
              <w:tc>
                <w:tcPr/>
                <w:p>
                  <w:pPr>
                    <w:pStyle w:val="Compact"/>
                    <w:jc w:val="center"/>
                  </w:pPr>
                  <w:r>
                    <w:t xml:space="preserve">800</w:t>
                  </w:r>
                </w:p>
              </w:tc>
              <w:tc>
                <w:tcPr/>
                <w:p>
                  <w:pPr>
                    <w:pStyle w:val="Compact"/>
                    <w:jc w:val="center"/>
                  </w:pPr>
                  <w:r>
                    <w:t xml:space="preserve">0.6084</w:t>
                  </w:r>
                </w:p>
              </w:tc>
              <w:tc>
                <w:tcPr/>
                <w:p>
                  <w:pPr>
                    <w:pStyle w:val="Compact"/>
                    <w:jc w:val="center"/>
                  </w:pPr>
                  <w:r>
                    <w:t xml:space="preserve">0.0100</w:t>
                  </w:r>
                </w:p>
              </w:tc>
              <w:tc>
                <w:tcPr/>
                <w:p>
                  <w:pPr>
                    <w:pStyle w:val="Compact"/>
                    <w:jc w:val="center"/>
                  </w:pPr>
                  <w:r>
                    <w:t xml:space="preserve">10</w:t>
                  </w:r>
                </w:p>
              </w:tc>
              <w:tc>
                <w:tcPr/>
                <w:p>
                  <w:pPr>
                    <w:pStyle w:val="Compact"/>
                    <w:jc w:val="center"/>
                  </w:pPr>
                  <w:r>
                    <w:t xml:space="preserve">10</w:t>
                  </w:r>
                </w:p>
              </w:tc>
            </w:tr>
            <w:tr>
              <w:tc>
                <w:tcPr/>
                <w:p>
                  <w:pPr>
                    <w:pStyle w:val="Compact"/>
                    <w:jc w:val="center"/>
                  </w:pPr>
                  <w:r>
                    <w:t xml:space="preserve">roc_auc</w:t>
                  </w:r>
                </w:p>
              </w:tc>
              <w:tc>
                <w:tcPr/>
                <w:p>
                  <w:pPr>
                    <w:pStyle w:val="Compact"/>
                    <w:jc w:val="center"/>
                  </w:pPr>
                  <w:r>
                    <w:t xml:space="preserve">16</w:t>
                  </w:r>
                </w:p>
              </w:tc>
              <w:tc>
                <w:tcPr/>
                <w:p>
                  <w:pPr>
                    <w:pStyle w:val="Compact"/>
                    <w:jc w:val="center"/>
                  </w:pPr>
                  <w:r>
                    <w:t xml:space="preserve">800</w:t>
                  </w:r>
                </w:p>
              </w:tc>
              <w:tc>
                <w:tcPr/>
                <w:p>
                  <w:pPr>
                    <w:pStyle w:val="Compact"/>
                    <w:jc w:val="center"/>
                  </w:pPr>
                  <w:r>
                    <w:t xml:space="preserve">0.6082</w:t>
                  </w:r>
                </w:p>
              </w:tc>
              <w:tc>
                <w:tcPr/>
                <w:p>
                  <w:pPr>
                    <w:pStyle w:val="Compact"/>
                    <w:jc w:val="center"/>
                  </w:pPr>
                  <w:r>
                    <w:t xml:space="preserve">0.0102</w:t>
                  </w:r>
                </w:p>
              </w:tc>
              <w:tc>
                <w:tcPr/>
                <w:p>
                  <w:pPr>
                    <w:pStyle w:val="Compact"/>
                    <w:jc w:val="center"/>
                  </w:pPr>
                  <w:r>
                    <w:t xml:space="preserve">10</w:t>
                  </w:r>
                </w:p>
              </w:tc>
              <w:tc>
                <w:tcPr/>
                <w:p>
                  <w:pPr>
                    <w:pStyle w:val="Compact"/>
                    <w:jc w:val="center"/>
                  </w:pPr>
                  <w:r>
                    <w:t xml:space="preserve">11</w:t>
                  </w:r>
                </w:p>
              </w:tc>
            </w:tr>
            <w:tr>
              <w:tc>
                <w:tcPr/>
                <w:p>
                  <w:pPr>
                    <w:pStyle w:val="Compact"/>
                    <w:jc w:val="center"/>
                  </w:pPr>
                  <w:r>
                    <w:t xml:space="preserve">roc_auc</w:t>
                  </w:r>
                </w:p>
              </w:tc>
              <w:tc>
                <w:tcPr/>
                <w:p>
                  <w:pPr>
                    <w:pStyle w:val="Compact"/>
                    <w:jc w:val="center"/>
                  </w:pPr>
                  <w:r>
                    <w:t xml:space="preserve">22</w:t>
                  </w:r>
                </w:p>
              </w:tc>
              <w:tc>
                <w:tcPr/>
                <w:p>
                  <w:pPr>
                    <w:pStyle w:val="Compact"/>
                    <w:jc w:val="center"/>
                  </w:pPr>
                  <w:r>
                    <w:t xml:space="preserve">800</w:t>
                  </w:r>
                </w:p>
              </w:tc>
              <w:tc>
                <w:tcPr/>
                <w:p>
                  <w:pPr>
                    <w:pStyle w:val="Compact"/>
                    <w:jc w:val="center"/>
                  </w:pPr>
                  <w:r>
                    <w:t xml:space="preserve">0.6082</w:t>
                  </w:r>
                </w:p>
              </w:tc>
              <w:tc>
                <w:tcPr/>
                <w:p>
                  <w:pPr>
                    <w:pStyle w:val="Compact"/>
                    <w:jc w:val="center"/>
                  </w:pPr>
                  <w:r>
                    <w:t xml:space="preserve">0.0104</w:t>
                  </w:r>
                </w:p>
              </w:tc>
              <w:tc>
                <w:tcPr/>
                <w:p>
                  <w:pPr>
                    <w:pStyle w:val="Compact"/>
                    <w:jc w:val="center"/>
                  </w:pPr>
                  <w:r>
                    <w:t xml:space="preserve">10</w:t>
                  </w:r>
                </w:p>
              </w:tc>
              <w:tc>
                <w:tcPr/>
                <w:p>
                  <w:pPr>
                    <w:pStyle w:val="Compact"/>
                    <w:jc w:val="center"/>
                  </w:pPr>
                  <w:r>
                    <w:t xml:space="preserve">12</w:t>
                  </w:r>
                </w:p>
              </w:tc>
            </w:tr>
            <w:tr>
              <w:tc>
                <w:tcPr/>
                <w:p>
                  <w:pPr>
                    <w:pStyle w:val="Compact"/>
                    <w:jc w:val="center"/>
                  </w:pPr>
                  <w:r>
                    <w:t xml:space="preserve">sensitivity</w:t>
                  </w:r>
                </w:p>
              </w:tc>
              <w:tc>
                <w:tcPr/>
                <w:p>
                  <w:pPr>
                    <w:pStyle w:val="Compact"/>
                    <w:jc w:val="center"/>
                  </w:pPr>
                  <w:r>
                    <w:t xml:space="preserve">29</w:t>
                  </w:r>
                </w:p>
              </w:tc>
              <w:tc>
                <w:tcPr/>
                <w:p>
                  <w:pPr>
                    <w:pStyle w:val="Compact"/>
                    <w:jc w:val="center"/>
                  </w:pPr>
                  <w:r>
                    <w:t xml:space="preserve">200</w:t>
                  </w:r>
                </w:p>
              </w:tc>
              <w:tc>
                <w:tcPr/>
                <w:p>
                  <w:pPr>
                    <w:pStyle w:val="Compact"/>
                    <w:jc w:val="center"/>
                  </w:pPr>
                  <w:r>
                    <w:t xml:space="preserve">0.3072</w:t>
                  </w:r>
                </w:p>
              </w:tc>
              <w:tc>
                <w:tcPr/>
                <w:p>
                  <w:pPr>
                    <w:pStyle w:val="Compact"/>
                    <w:jc w:val="center"/>
                  </w:pPr>
                  <w:r>
                    <w:t xml:space="preserve">0.0162</w:t>
                  </w:r>
                </w:p>
              </w:tc>
              <w:tc>
                <w:tcPr/>
                <w:p>
                  <w:pPr>
                    <w:pStyle w:val="Compact"/>
                    <w:jc w:val="center"/>
                  </w:pPr>
                  <w:r>
                    <w:t xml:space="preserve">10</w:t>
                  </w:r>
                </w:p>
              </w:tc>
              <w:tc>
                <w:tcPr/>
                <w:p>
                  <w:pPr>
                    <w:pStyle w:val="Compact"/>
                    <w:jc w:val="center"/>
                  </w:pPr>
                  <w:r>
                    <w:t xml:space="preserve">1</w:t>
                  </w:r>
                </w:p>
              </w:tc>
            </w:tr>
            <w:tr>
              <w:tc>
                <w:tcPr/>
                <w:p>
                  <w:pPr>
                    <w:pStyle w:val="Compact"/>
                    <w:jc w:val="center"/>
                  </w:pPr>
                  <w:r>
                    <w:t xml:space="preserve">sensitivity</w:t>
                  </w:r>
                </w:p>
              </w:tc>
              <w:tc>
                <w:tcPr/>
                <w:p>
                  <w:pPr>
                    <w:pStyle w:val="Compact"/>
                    <w:jc w:val="center"/>
                  </w:pPr>
                  <w:r>
                    <w:t xml:space="preserve">22</w:t>
                  </w:r>
                </w:p>
              </w:tc>
              <w:tc>
                <w:tcPr/>
                <w:p>
                  <w:pPr>
                    <w:pStyle w:val="Compact"/>
                    <w:jc w:val="center"/>
                  </w:pPr>
                  <w:r>
                    <w:t xml:space="preserve">200</w:t>
                  </w:r>
                </w:p>
              </w:tc>
              <w:tc>
                <w:tcPr/>
                <w:p>
                  <w:pPr>
                    <w:pStyle w:val="Compact"/>
                    <w:jc w:val="center"/>
                  </w:pPr>
                  <w:r>
                    <w:t xml:space="preserve">0.2923</w:t>
                  </w:r>
                </w:p>
              </w:tc>
              <w:tc>
                <w:tcPr/>
                <w:p>
                  <w:pPr>
                    <w:pStyle w:val="Compact"/>
                    <w:jc w:val="center"/>
                  </w:pPr>
                  <w:r>
                    <w:t xml:space="preserve">0.0188</w:t>
                  </w:r>
                </w:p>
              </w:tc>
              <w:tc>
                <w:tcPr/>
                <w:p>
                  <w:pPr>
                    <w:pStyle w:val="Compact"/>
                    <w:jc w:val="center"/>
                  </w:pPr>
                  <w:r>
                    <w:t xml:space="preserve">10</w:t>
                  </w:r>
                </w:p>
              </w:tc>
              <w:tc>
                <w:tcPr/>
                <w:p>
                  <w:pPr>
                    <w:pStyle w:val="Compact"/>
                    <w:jc w:val="center"/>
                  </w:pPr>
                  <w:r>
                    <w:t xml:space="preserve">2</w:t>
                  </w:r>
                </w:p>
              </w:tc>
            </w:tr>
            <w:tr>
              <w:tc>
                <w:tcPr/>
                <w:p>
                  <w:pPr>
                    <w:pStyle w:val="Compact"/>
                    <w:jc w:val="center"/>
                  </w:pPr>
                  <w:r>
                    <w:t xml:space="preserve">sensitivity</w:t>
                  </w:r>
                </w:p>
              </w:tc>
              <w:tc>
                <w:tcPr/>
                <w:p>
                  <w:pPr>
                    <w:pStyle w:val="Compact"/>
                    <w:jc w:val="center"/>
                  </w:pPr>
                  <w:r>
                    <w:t xml:space="preserve">16</w:t>
                  </w:r>
                </w:p>
              </w:tc>
              <w:tc>
                <w:tcPr/>
                <w:p>
                  <w:pPr>
                    <w:pStyle w:val="Compact"/>
                    <w:jc w:val="center"/>
                  </w:pPr>
                  <w:r>
                    <w:t xml:space="preserve">200</w:t>
                  </w:r>
                </w:p>
              </w:tc>
              <w:tc>
                <w:tcPr/>
                <w:p>
                  <w:pPr>
                    <w:pStyle w:val="Compact"/>
                    <w:jc w:val="center"/>
                  </w:pPr>
                  <w:r>
                    <w:t xml:space="preserve">0.2900</w:t>
                  </w:r>
                </w:p>
              </w:tc>
              <w:tc>
                <w:tcPr/>
                <w:p>
                  <w:pPr>
                    <w:pStyle w:val="Compact"/>
                    <w:jc w:val="center"/>
                  </w:pPr>
                  <w:r>
                    <w:t xml:space="preserve">0.0143</w:t>
                  </w:r>
                </w:p>
              </w:tc>
              <w:tc>
                <w:tcPr/>
                <w:p>
                  <w:pPr>
                    <w:pStyle w:val="Compact"/>
                    <w:jc w:val="center"/>
                  </w:pPr>
                  <w:r>
                    <w:t xml:space="preserve">10</w:t>
                  </w:r>
                </w:p>
              </w:tc>
              <w:tc>
                <w:tcPr/>
                <w:p>
                  <w:pPr>
                    <w:pStyle w:val="Compact"/>
                    <w:jc w:val="center"/>
                  </w:pPr>
                  <w:r>
                    <w:t xml:space="preserve">3</w:t>
                  </w:r>
                </w:p>
              </w:tc>
            </w:tr>
            <w:tr>
              <w:tc>
                <w:tcPr/>
                <w:p>
                  <w:pPr>
                    <w:pStyle w:val="Compact"/>
                    <w:jc w:val="center"/>
                  </w:pPr>
                  <w:r>
                    <w:t xml:space="preserve">sensitivity</w:t>
                  </w:r>
                </w:p>
              </w:tc>
              <w:tc>
                <w:tcPr/>
                <w:p>
                  <w:pPr>
                    <w:pStyle w:val="Compact"/>
                    <w:jc w:val="center"/>
                  </w:pPr>
                  <w:r>
                    <w:t xml:space="preserve">10</w:t>
                  </w:r>
                </w:p>
              </w:tc>
              <w:tc>
                <w:tcPr/>
                <w:p>
                  <w:pPr>
                    <w:pStyle w:val="Compact"/>
                    <w:jc w:val="center"/>
                  </w:pPr>
                  <w:r>
                    <w:t xml:space="preserve">200</w:t>
                  </w:r>
                </w:p>
              </w:tc>
              <w:tc>
                <w:tcPr/>
                <w:p>
                  <w:pPr>
                    <w:pStyle w:val="Compact"/>
                    <w:jc w:val="center"/>
                  </w:pPr>
                  <w:r>
                    <w:t xml:space="preserve">0.2774</w:t>
                  </w:r>
                </w:p>
              </w:tc>
              <w:tc>
                <w:tcPr/>
                <w:p>
                  <w:pPr>
                    <w:pStyle w:val="Compact"/>
                    <w:jc w:val="center"/>
                  </w:pPr>
                  <w:r>
                    <w:t xml:space="preserve">0.0152</w:t>
                  </w:r>
                </w:p>
              </w:tc>
              <w:tc>
                <w:tcPr/>
                <w:p>
                  <w:pPr>
                    <w:pStyle w:val="Compact"/>
                    <w:jc w:val="center"/>
                  </w:pPr>
                  <w:r>
                    <w:t xml:space="preserve">10</w:t>
                  </w:r>
                </w:p>
              </w:tc>
              <w:tc>
                <w:tcPr/>
                <w:p>
                  <w:pPr>
                    <w:pStyle w:val="Compact"/>
                    <w:jc w:val="center"/>
                  </w:pPr>
                  <w:r>
                    <w:t xml:space="preserve">4</w:t>
                  </w:r>
                </w:p>
              </w:tc>
            </w:tr>
            <w:tr>
              <w:tc>
                <w:tcPr/>
                <w:p>
                  <w:pPr>
                    <w:pStyle w:val="Compact"/>
                    <w:jc w:val="center"/>
                  </w:pPr>
                  <w:r>
                    <w:t xml:space="preserve">sensitivity</w:t>
                  </w:r>
                </w:p>
              </w:tc>
              <w:tc>
                <w:tcPr/>
                <w:p>
                  <w:pPr>
                    <w:pStyle w:val="Compact"/>
                    <w:jc w:val="center"/>
                  </w:pPr>
                  <w:r>
                    <w:t xml:space="preserve">22</w:t>
                  </w:r>
                </w:p>
              </w:tc>
              <w:tc>
                <w:tcPr/>
                <w:p>
                  <w:pPr>
                    <w:pStyle w:val="Compact"/>
                    <w:jc w:val="center"/>
                  </w:pPr>
                  <w:r>
                    <w:t xml:space="preserve">500</w:t>
                  </w:r>
                </w:p>
              </w:tc>
              <w:tc>
                <w:tcPr/>
                <w:p>
                  <w:pPr>
                    <w:pStyle w:val="Compact"/>
                    <w:jc w:val="center"/>
                  </w:pPr>
                  <w:r>
                    <w:t xml:space="preserve">0.2546</w:t>
                  </w:r>
                </w:p>
              </w:tc>
              <w:tc>
                <w:tcPr/>
                <w:p>
                  <w:pPr>
                    <w:pStyle w:val="Compact"/>
                    <w:jc w:val="center"/>
                  </w:pPr>
                  <w:r>
                    <w:t xml:space="preserve">0.0159</w:t>
                  </w:r>
                </w:p>
              </w:tc>
              <w:tc>
                <w:tcPr/>
                <w:p>
                  <w:pPr>
                    <w:pStyle w:val="Compact"/>
                    <w:jc w:val="center"/>
                  </w:pPr>
                  <w:r>
                    <w:t xml:space="preserve">10</w:t>
                  </w:r>
                </w:p>
              </w:tc>
              <w:tc>
                <w:tcPr/>
                <w:p>
                  <w:pPr>
                    <w:pStyle w:val="Compact"/>
                    <w:jc w:val="center"/>
                  </w:pPr>
                  <w:r>
                    <w:t xml:space="preserve">5</w:t>
                  </w:r>
                </w:p>
              </w:tc>
            </w:tr>
            <w:tr>
              <w:tc>
                <w:tcPr/>
                <w:p>
                  <w:pPr>
                    <w:pStyle w:val="Compact"/>
                    <w:jc w:val="center"/>
                  </w:pPr>
                  <w:r>
                    <w:t xml:space="preserve">sensitivity</w:t>
                  </w:r>
                </w:p>
              </w:tc>
              <w:tc>
                <w:tcPr/>
                <w:p>
                  <w:pPr>
                    <w:pStyle w:val="Compact"/>
                    <w:jc w:val="center"/>
                  </w:pPr>
                  <w:r>
                    <w:t xml:space="preserve">29</w:t>
                  </w:r>
                </w:p>
              </w:tc>
              <w:tc>
                <w:tcPr/>
                <w:p>
                  <w:pPr>
                    <w:pStyle w:val="Compact"/>
                    <w:jc w:val="center"/>
                  </w:pPr>
                  <w:r>
                    <w:t xml:space="preserve">500</w:t>
                  </w:r>
                </w:p>
              </w:tc>
              <w:tc>
                <w:tcPr/>
                <w:p>
                  <w:pPr>
                    <w:pStyle w:val="Compact"/>
                    <w:jc w:val="center"/>
                  </w:pPr>
                  <w:r>
                    <w:t xml:space="preserve">0.2546</w:t>
                  </w:r>
                </w:p>
              </w:tc>
              <w:tc>
                <w:tcPr/>
                <w:p>
                  <w:pPr>
                    <w:pStyle w:val="Compact"/>
                    <w:jc w:val="center"/>
                  </w:pPr>
                  <w:r>
                    <w:t xml:space="preserve">0.0149</w:t>
                  </w:r>
                </w:p>
              </w:tc>
              <w:tc>
                <w:tcPr/>
                <w:p>
                  <w:pPr>
                    <w:pStyle w:val="Compact"/>
                    <w:jc w:val="center"/>
                  </w:pPr>
                  <w:r>
                    <w:t xml:space="preserve">10</w:t>
                  </w:r>
                </w:p>
              </w:tc>
              <w:tc>
                <w:tcPr/>
                <w:p>
                  <w:pPr>
                    <w:pStyle w:val="Compact"/>
                    <w:jc w:val="center"/>
                  </w:pPr>
                  <w:r>
                    <w:t xml:space="preserve">6</w:t>
                  </w:r>
                </w:p>
              </w:tc>
            </w:tr>
            <w:tr>
              <w:tc>
                <w:tcPr/>
                <w:p>
                  <w:pPr>
                    <w:pStyle w:val="Compact"/>
                    <w:jc w:val="center"/>
                  </w:pPr>
                  <w:r>
                    <w:t xml:space="preserve">sensitivity</w:t>
                  </w:r>
                </w:p>
              </w:tc>
              <w:tc>
                <w:tcPr/>
                <w:p>
                  <w:pPr>
                    <w:pStyle w:val="Compact"/>
                    <w:jc w:val="center"/>
                  </w:pPr>
                  <w:r>
                    <w:t xml:space="preserve">16</w:t>
                  </w:r>
                </w:p>
              </w:tc>
              <w:tc>
                <w:tcPr/>
                <w:p>
                  <w:pPr>
                    <w:pStyle w:val="Compact"/>
                    <w:jc w:val="center"/>
                  </w:pPr>
                  <w:r>
                    <w:t xml:space="preserve">500</w:t>
                  </w:r>
                </w:p>
              </w:tc>
              <w:tc>
                <w:tcPr/>
                <w:p>
                  <w:pPr>
                    <w:pStyle w:val="Compact"/>
                    <w:jc w:val="center"/>
                  </w:pPr>
                  <w:r>
                    <w:t xml:space="preserve">0.2293</w:t>
                  </w:r>
                </w:p>
              </w:tc>
              <w:tc>
                <w:tcPr/>
                <w:p>
                  <w:pPr>
                    <w:pStyle w:val="Compact"/>
                    <w:jc w:val="center"/>
                  </w:pPr>
                  <w:r>
                    <w:t xml:space="preserve">0.0152</w:t>
                  </w:r>
                </w:p>
              </w:tc>
              <w:tc>
                <w:tcPr/>
                <w:p>
                  <w:pPr>
                    <w:pStyle w:val="Compact"/>
                    <w:jc w:val="center"/>
                  </w:pPr>
                  <w:r>
                    <w:t xml:space="preserve">10</w:t>
                  </w:r>
                </w:p>
              </w:tc>
              <w:tc>
                <w:tcPr/>
                <w:p>
                  <w:pPr>
                    <w:pStyle w:val="Compact"/>
                    <w:jc w:val="center"/>
                  </w:pPr>
                  <w:r>
                    <w:t xml:space="preserve">7</w:t>
                  </w:r>
                </w:p>
              </w:tc>
            </w:tr>
            <w:tr>
              <w:tc>
                <w:tcPr/>
                <w:p>
                  <w:pPr>
                    <w:pStyle w:val="Compact"/>
                    <w:jc w:val="center"/>
                  </w:pPr>
                  <w:r>
                    <w:t xml:space="preserve">sensitivity</w:t>
                  </w:r>
                </w:p>
              </w:tc>
              <w:tc>
                <w:tcPr/>
                <w:p>
                  <w:pPr>
                    <w:pStyle w:val="Compact"/>
                    <w:jc w:val="center"/>
                  </w:pPr>
                  <w:r>
                    <w:t xml:space="preserve">10</w:t>
                  </w:r>
                </w:p>
              </w:tc>
              <w:tc>
                <w:tcPr/>
                <w:p>
                  <w:pPr>
                    <w:pStyle w:val="Compact"/>
                    <w:jc w:val="center"/>
                  </w:pPr>
                  <w:r>
                    <w:t xml:space="preserve">500</w:t>
                  </w:r>
                </w:p>
              </w:tc>
              <w:tc>
                <w:tcPr/>
                <w:p>
                  <w:pPr>
                    <w:pStyle w:val="Compact"/>
                    <w:jc w:val="center"/>
                  </w:pPr>
                  <w:r>
                    <w:t xml:space="preserve">0.1960</w:t>
                  </w:r>
                </w:p>
              </w:tc>
              <w:tc>
                <w:tcPr/>
                <w:p>
                  <w:pPr>
                    <w:pStyle w:val="Compact"/>
                    <w:jc w:val="center"/>
                  </w:pPr>
                  <w:r>
                    <w:t xml:space="preserve">0.0161</w:t>
                  </w:r>
                </w:p>
              </w:tc>
              <w:tc>
                <w:tcPr/>
                <w:p>
                  <w:pPr>
                    <w:pStyle w:val="Compact"/>
                    <w:jc w:val="center"/>
                  </w:pPr>
                  <w:r>
                    <w:t xml:space="preserve">10</w:t>
                  </w:r>
                </w:p>
              </w:tc>
              <w:tc>
                <w:tcPr/>
                <w:p>
                  <w:pPr>
                    <w:pStyle w:val="Compact"/>
                    <w:jc w:val="center"/>
                  </w:pPr>
                  <w:r>
                    <w:t xml:space="preserve">8</w:t>
                  </w:r>
                </w:p>
              </w:tc>
            </w:tr>
            <w:tr>
              <w:tc>
                <w:tcPr/>
                <w:p>
                  <w:pPr>
                    <w:pStyle w:val="Compact"/>
                    <w:jc w:val="center"/>
                  </w:pPr>
                  <w:r>
                    <w:t xml:space="preserve">sensitivity</w:t>
                  </w:r>
                </w:p>
              </w:tc>
              <w:tc>
                <w:tcPr/>
                <w:p>
                  <w:pPr>
                    <w:pStyle w:val="Compact"/>
                    <w:jc w:val="center"/>
                  </w:pPr>
                  <w:r>
                    <w:t xml:space="preserve">29</w:t>
                  </w:r>
                </w:p>
              </w:tc>
              <w:tc>
                <w:tcPr/>
                <w:p>
                  <w:pPr>
                    <w:pStyle w:val="Compact"/>
                    <w:jc w:val="center"/>
                  </w:pPr>
                  <w:r>
                    <w:t xml:space="preserve">800</w:t>
                  </w:r>
                </w:p>
              </w:tc>
              <w:tc>
                <w:tcPr/>
                <w:p>
                  <w:pPr>
                    <w:pStyle w:val="Compact"/>
                    <w:jc w:val="center"/>
                  </w:pPr>
                  <w:r>
                    <w:t xml:space="preserve">0.1514</w:t>
                  </w:r>
                </w:p>
              </w:tc>
              <w:tc>
                <w:tcPr/>
                <w:p>
                  <w:pPr>
                    <w:pStyle w:val="Compact"/>
                    <w:jc w:val="center"/>
                  </w:pPr>
                  <w:r>
                    <w:t xml:space="preserve">0.0123</w:t>
                  </w:r>
                </w:p>
              </w:tc>
              <w:tc>
                <w:tcPr/>
                <w:p>
                  <w:pPr>
                    <w:pStyle w:val="Compact"/>
                    <w:jc w:val="center"/>
                  </w:pPr>
                  <w:r>
                    <w:t xml:space="preserve">10</w:t>
                  </w:r>
                </w:p>
              </w:tc>
              <w:tc>
                <w:tcPr/>
                <w:p>
                  <w:pPr>
                    <w:pStyle w:val="Compact"/>
                    <w:jc w:val="center"/>
                  </w:pPr>
                  <w:r>
                    <w:t xml:space="preserve">9</w:t>
                  </w:r>
                </w:p>
              </w:tc>
            </w:tr>
            <w:tr>
              <w:tc>
                <w:tcPr/>
                <w:p>
                  <w:pPr>
                    <w:pStyle w:val="Compact"/>
                    <w:jc w:val="center"/>
                  </w:pPr>
                  <w:r>
                    <w:t xml:space="preserve">sensitivity</w:t>
                  </w:r>
                </w:p>
              </w:tc>
              <w:tc>
                <w:tcPr/>
                <w:p>
                  <w:pPr>
                    <w:pStyle w:val="Compact"/>
                    <w:jc w:val="center"/>
                  </w:pPr>
                  <w:r>
                    <w:t xml:space="preserve">22</w:t>
                  </w:r>
                </w:p>
              </w:tc>
              <w:tc>
                <w:tcPr/>
                <w:p>
                  <w:pPr>
                    <w:pStyle w:val="Compact"/>
                    <w:jc w:val="center"/>
                  </w:pPr>
                  <w:r>
                    <w:t xml:space="preserve">800</w:t>
                  </w:r>
                </w:p>
              </w:tc>
              <w:tc>
                <w:tcPr/>
                <w:p>
                  <w:pPr>
                    <w:pStyle w:val="Compact"/>
                    <w:jc w:val="center"/>
                  </w:pPr>
                  <w:r>
                    <w:t xml:space="preserve">0.1445</w:t>
                  </w:r>
                </w:p>
              </w:tc>
              <w:tc>
                <w:tcPr/>
                <w:p>
                  <w:pPr>
                    <w:pStyle w:val="Compact"/>
                    <w:jc w:val="center"/>
                  </w:pPr>
                  <w:r>
                    <w:t xml:space="preserve">0.0149</w:t>
                  </w:r>
                </w:p>
              </w:tc>
              <w:tc>
                <w:tcPr/>
                <w:p>
                  <w:pPr>
                    <w:pStyle w:val="Compact"/>
                    <w:jc w:val="center"/>
                  </w:pPr>
                  <w:r>
                    <w:t xml:space="preserve">10</w:t>
                  </w:r>
                </w:p>
              </w:tc>
              <w:tc>
                <w:tcPr/>
                <w:p>
                  <w:pPr>
                    <w:pStyle w:val="Compact"/>
                    <w:jc w:val="center"/>
                  </w:pPr>
                  <w:r>
                    <w:t xml:space="preserve">10</w:t>
                  </w:r>
                </w:p>
              </w:tc>
            </w:tr>
            <w:tr>
              <w:tc>
                <w:tcPr/>
                <w:p>
                  <w:pPr>
                    <w:pStyle w:val="Compact"/>
                    <w:jc w:val="center"/>
                  </w:pPr>
                  <w:r>
                    <w:t xml:space="preserve">sensitivity</w:t>
                  </w:r>
                </w:p>
              </w:tc>
              <w:tc>
                <w:tcPr/>
                <w:p>
                  <w:pPr>
                    <w:pStyle w:val="Compact"/>
                    <w:jc w:val="center"/>
                  </w:pPr>
                  <w:r>
                    <w:t xml:space="preserve">16</w:t>
                  </w:r>
                </w:p>
              </w:tc>
              <w:tc>
                <w:tcPr/>
                <w:p>
                  <w:pPr>
                    <w:pStyle w:val="Compact"/>
                    <w:jc w:val="center"/>
                  </w:pPr>
                  <w:r>
                    <w:t xml:space="preserve">800</w:t>
                  </w:r>
                </w:p>
              </w:tc>
              <w:tc>
                <w:tcPr/>
                <w:p>
                  <w:pPr>
                    <w:pStyle w:val="Compact"/>
                    <w:jc w:val="center"/>
                  </w:pPr>
                  <w:r>
                    <w:t xml:space="preserve">0.1273</w:t>
                  </w:r>
                </w:p>
              </w:tc>
              <w:tc>
                <w:tcPr/>
                <w:p>
                  <w:pPr>
                    <w:pStyle w:val="Compact"/>
                    <w:jc w:val="center"/>
                  </w:pPr>
                  <w:r>
                    <w:t xml:space="preserve">0.0103</w:t>
                  </w:r>
                </w:p>
              </w:tc>
              <w:tc>
                <w:tcPr/>
                <w:p>
                  <w:pPr>
                    <w:pStyle w:val="Compact"/>
                    <w:jc w:val="center"/>
                  </w:pPr>
                  <w:r>
                    <w:t xml:space="preserve">10</w:t>
                  </w:r>
                </w:p>
              </w:tc>
              <w:tc>
                <w:tcPr/>
                <w:p>
                  <w:pPr>
                    <w:pStyle w:val="Compact"/>
                    <w:jc w:val="center"/>
                  </w:pPr>
                  <w:r>
                    <w:t xml:space="preserve">11</w:t>
                  </w:r>
                </w:p>
              </w:tc>
            </w:tr>
            <w:tr>
              <w:tc>
                <w:tcPr/>
                <w:p>
                  <w:pPr>
                    <w:pStyle w:val="Compact"/>
                    <w:jc w:val="center"/>
                  </w:pPr>
                  <w:r>
                    <w:t xml:space="preserve">sensitivity</w:t>
                  </w:r>
                </w:p>
              </w:tc>
              <w:tc>
                <w:tcPr/>
                <w:p>
                  <w:pPr>
                    <w:pStyle w:val="Compact"/>
                    <w:jc w:val="center"/>
                  </w:pPr>
                  <w:r>
                    <w:t xml:space="preserve">10</w:t>
                  </w:r>
                </w:p>
              </w:tc>
              <w:tc>
                <w:tcPr/>
                <w:p>
                  <w:pPr>
                    <w:pStyle w:val="Compact"/>
                    <w:jc w:val="center"/>
                  </w:pPr>
                  <w:r>
                    <w:t xml:space="preserve">800</w:t>
                  </w:r>
                </w:p>
              </w:tc>
              <w:tc>
                <w:tcPr/>
                <w:p>
                  <w:pPr>
                    <w:pStyle w:val="Compact"/>
                    <w:jc w:val="center"/>
                  </w:pPr>
                  <w:r>
                    <w:t xml:space="preserve">0.0917</w:t>
                  </w:r>
                </w:p>
              </w:tc>
              <w:tc>
                <w:tcPr/>
                <w:p>
                  <w:pPr>
                    <w:pStyle w:val="Compact"/>
                    <w:jc w:val="center"/>
                  </w:pPr>
                  <w:r>
                    <w:t xml:space="preserve">0.0109</w:t>
                  </w:r>
                </w:p>
              </w:tc>
              <w:tc>
                <w:tcPr/>
                <w:p>
                  <w:pPr>
                    <w:pStyle w:val="Compact"/>
                    <w:jc w:val="center"/>
                  </w:pPr>
                  <w:r>
                    <w:t xml:space="preserve">10</w:t>
                  </w:r>
                </w:p>
              </w:tc>
              <w:tc>
                <w:tcPr/>
                <w:p>
                  <w:pPr>
                    <w:pStyle w:val="Compact"/>
                    <w:jc w:val="center"/>
                  </w:pPr>
                  <w:r>
                    <w:t xml:space="preserve">12</w:t>
                  </w:r>
                </w:p>
              </w:tc>
            </w:tr>
            <w:tr>
              <w:tc>
                <w:tcPr/>
                <w:p>
                  <w:pPr>
                    <w:pStyle w:val="Compact"/>
                    <w:jc w:val="center"/>
                  </w:pPr>
                  <w:r>
                    <w:t xml:space="preserve">spec</w:t>
                  </w:r>
                </w:p>
              </w:tc>
              <w:tc>
                <w:tcPr/>
                <w:p>
                  <w:pPr>
                    <w:pStyle w:val="Compact"/>
                    <w:jc w:val="center"/>
                  </w:pPr>
                  <w:r>
                    <w:t xml:space="preserve">10</w:t>
                  </w:r>
                </w:p>
              </w:tc>
              <w:tc>
                <w:tcPr/>
                <w:p>
                  <w:pPr>
                    <w:pStyle w:val="Compact"/>
                    <w:jc w:val="center"/>
                  </w:pPr>
                  <w:r>
                    <w:t xml:space="preserve">800</w:t>
                  </w:r>
                </w:p>
              </w:tc>
              <w:tc>
                <w:tcPr/>
                <w:p>
                  <w:pPr>
                    <w:pStyle w:val="Compact"/>
                    <w:jc w:val="center"/>
                  </w:pPr>
                  <w:r>
                    <w:t xml:space="preserve">0.9600</w:t>
                  </w:r>
                </w:p>
              </w:tc>
              <w:tc>
                <w:tcPr/>
                <w:p>
                  <w:pPr>
                    <w:pStyle w:val="Compact"/>
                    <w:jc w:val="center"/>
                  </w:pPr>
                  <w:r>
                    <w:t xml:space="preserve">0.0056</w:t>
                  </w:r>
                </w:p>
              </w:tc>
              <w:tc>
                <w:tcPr/>
                <w:p>
                  <w:pPr>
                    <w:pStyle w:val="Compact"/>
                    <w:jc w:val="center"/>
                  </w:pPr>
                  <w:r>
                    <w:t xml:space="preserve">10</w:t>
                  </w:r>
                </w:p>
              </w:tc>
              <w:tc>
                <w:tcPr/>
                <w:p>
                  <w:pPr>
                    <w:pStyle w:val="Compact"/>
                    <w:jc w:val="center"/>
                  </w:pPr>
                  <w:r>
                    <w:t xml:space="preserve">1</w:t>
                  </w:r>
                </w:p>
              </w:tc>
            </w:tr>
            <w:tr>
              <w:tc>
                <w:tcPr/>
                <w:p>
                  <w:pPr>
                    <w:pStyle w:val="Compact"/>
                    <w:jc w:val="center"/>
                  </w:pPr>
                  <w:r>
                    <w:t xml:space="preserve">spec</w:t>
                  </w:r>
                </w:p>
              </w:tc>
              <w:tc>
                <w:tcPr/>
                <w:p>
                  <w:pPr>
                    <w:pStyle w:val="Compact"/>
                    <w:jc w:val="center"/>
                  </w:pPr>
                  <w:r>
                    <w:t xml:space="preserve">16</w:t>
                  </w:r>
                </w:p>
              </w:tc>
              <w:tc>
                <w:tcPr/>
                <w:p>
                  <w:pPr>
                    <w:pStyle w:val="Compact"/>
                    <w:jc w:val="center"/>
                  </w:pPr>
                  <w:r>
                    <w:t xml:space="preserve">800</w:t>
                  </w:r>
                </w:p>
              </w:tc>
              <w:tc>
                <w:tcPr/>
                <w:p>
                  <w:pPr>
                    <w:pStyle w:val="Compact"/>
                    <w:jc w:val="center"/>
                  </w:pPr>
                  <w:r>
                    <w:t xml:space="preserve">0.9364</w:t>
                  </w:r>
                </w:p>
              </w:tc>
              <w:tc>
                <w:tcPr/>
                <w:p>
                  <w:pPr>
                    <w:pStyle w:val="Compact"/>
                    <w:jc w:val="center"/>
                  </w:pPr>
                  <w:r>
                    <w:t xml:space="preserve">0.0088</w:t>
                  </w:r>
                </w:p>
              </w:tc>
              <w:tc>
                <w:tcPr/>
                <w:p>
                  <w:pPr>
                    <w:pStyle w:val="Compact"/>
                    <w:jc w:val="center"/>
                  </w:pPr>
                  <w:r>
                    <w:t xml:space="preserve">10</w:t>
                  </w:r>
                </w:p>
              </w:tc>
              <w:tc>
                <w:tcPr/>
                <w:p>
                  <w:pPr>
                    <w:pStyle w:val="Compact"/>
                    <w:jc w:val="center"/>
                  </w:pPr>
                  <w:r>
                    <w:t xml:space="preserve">2</w:t>
                  </w:r>
                </w:p>
              </w:tc>
            </w:tr>
            <w:tr>
              <w:tc>
                <w:tcPr/>
                <w:p>
                  <w:pPr>
                    <w:pStyle w:val="Compact"/>
                    <w:jc w:val="center"/>
                  </w:pPr>
                  <w:r>
                    <w:t xml:space="preserve">spec</w:t>
                  </w:r>
                </w:p>
              </w:tc>
              <w:tc>
                <w:tcPr/>
                <w:p>
                  <w:pPr>
                    <w:pStyle w:val="Compact"/>
                    <w:jc w:val="center"/>
                  </w:pPr>
                  <w:r>
                    <w:t xml:space="preserve">22</w:t>
                  </w:r>
                </w:p>
              </w:tc>
              <w:tc>
                <w:tcPr/>
                <w:p>
                  <w:pPr>
                    <w:pStyle w:val="Compact"/>
                    <w:jc w:val="center"/>
                  </w:pPr>
                  <w:r>
                    <w:t xml:space="preserve">800</w:t>
                  </w:r>
                </w:p>
              </w:tc>
              <w:tc>
                <w:tcPr/>
                <w:p>
                  <w:pPr>
                    <w:pStyle w:val="Compact"/>
                    <w:jc w:val="center"/>
                  </w:pPr>
                  <w:r>
                    <w:t xml:space="preserve">0.9238</w:t>
                  </w:r>
                </w:p>
              </w:tc>
              <w:tc>
                <w:tcPr/>
                <w:p>
                  <w:pPr>
                    <w:pStyle w:val="Compact"/>
                    <w:jc w:val="center"/>
                  </w:pPr>
                  <w:r>
                    <w:t xml:space="preserve">0.0115</w:t>
                  </w:r>
                </w:p>
              </w:tc>
              <w:tc>
                <w:tcPr/>
                <w:p>
                  <w:pPr>
                    <w:pStyle w:val="Compact"/>
                    <w:jc w:val="center"/>
                  </w:pPr>
                  <w:r>
                    <w:t xml:space="preserve">10</w:t>
                  </w:r>
                </w:p>
              </w:tc>
              <w:tc>
                <w:tcPr/>
                <w:p>
                  <w:pPr>
                    <w:pStyle w:val="Compact"/>
                    <w:jc w:val="center"/>
                  </w:pPr>
                  <w:r>
                    <w:t xml:space="preserve">3</w:t>
                  </w:r>
                </w:p>
              </w:tc>
            </w:tr>
            <w:tr>
              <w:tc>
                <w:tcPr/>
                <w:p>
                  <w:pPr>
                    <w:pStyle w:val="Compact"/>
                    <w:jc w:val="center"/>
                  </w:pPr>
                  <w:r>
                    <w:t xml:space="preserve">spec</w:t>
                  </w:r>
                </w:p>
              </w:tc>
              <w:tc>
                <w:tcPr/>
                <w:p>
                  <w:pPr>
                    <w:pStyle w:val="Compact"/>
                    <w:jc w:val="center"/>
                  </w:pPr>
                  <w:r>
                    <w:t xml:space="preserve">29</w:t>
                  </w:r>
                </w:p>
              </w:tc>
              <w:tc>
                <w:tcPr/>
                <w:p>
                  <w:pPr>
                    <w:pStyle w:val="Compact"/>
                    <w:jc w:val="center"/>
                  </w:pPr>
                  <w:r>
                    <w:t xml:space="preserve">800</w:t>
                  </w:r>
                </w:p>
              </w:tc>
              <w:tc>
                <w:tcPr/>
                <w:p>
                  <w:pPr>
                    <w:pStyle w:val="Compact"/>
                    <w:jc w:val="center"/>
                  </w:pPr>
                  <w:r>
                    <w:t xml:space="preserve">0.9199</w:t>
                  </w:r>
                </w:p>
              </w:tc>
              <w:tc>
                <w:tcPr/>
                <w:p>
                  <w:pPr>
                    <w:pStyle w:val="Compact"/>
                    <w:jc w:val="center"/>
                  </w:pPr>
                  <w:r>
                    <w:t xml:space="preserve">0.0089</w:t>
                  </w:r>
                </w:p>
              </w:tc>
              <w:tc>
                <w:tcPr/>
                <w:p>
                  <w:pPr>
                    <w:pStyle w:val="Compact"/>
                    <w:jc w:val="center"/>
                  </w:pPr>
                  <w:r>
                    <w:t xml:space="preserve">10</w:t>
                  </w:r>
                </w:p>
              </w:tc>
              <w:tc>
                <w:tcPr/>
                <w:p>
                  <w:pPr>
                    <w:pStyle w:val="Compact"/>
                    <w:jc w:val="center"/>
                  </w:pPr>
                  <w:r>
                    <w:t xml:space="preserve">4</w:t>
                  </w:r>
                </w:p>
              </w:tc>
            </w:tr>
            <w:tr>
              <w:tc>
                <w:tcPr/>
                <w:p>
                  <w:pPr>
                    <w:pStyle w:val="Compact"/>
                    <w:jc w:val="center"/>
                  </w:pPr>
                  <w:r>
                    <w:t xml:space="preserve">spec</w:t>
                  </w:r>
                </w:p>
              </w:tc>
              <w:tc>
                <w:tcPr/>
                <w:p>
                  <w:pPr>
                    <w:pStyle w:val="Compact"/>
                    <w:jc w:val="center"/>
                  </w:pPr>
                  <w:r>
                    <w:t xml:space="preserve">10</w:t>
                  </w:r>
                </w:p>
              </w:tc>
              <w:tc>
                <w:tcPr/>
                <w:p>
                  <w:pPr>
                    <w:pStyle w:val="Compact"/>
                    <w:jc w:val="center"/>
                  </w:pPr>
                  <w:r>
                    <w:t xml:space="preserve">500</w:t>
                  </w:r>
                </w:p>
              </w:tc>
              <w:tc>
                <w:tcPr/>
                <w:p>
                  <w:pPr>
                    <w:pStyle w:val="Compact"/>
                    <w:jc w:val="center"/>
                  </w:pPr>
                  <w:r>
                    <w:t xml:space="preserve">0.8900</w:t>
                  </w:r>
                </w:p>
              </w:tc>
              <w:tc>
                <w:tcPr/>
                <w:p>
                  <w:pPr>
                    <w:pStyle w:val="Compact"/>
                    <w:jc w:val="center"/>
                  </w:pPr>
                  <w:r>
                    <w:t xml:space="preserve">0.0102</w:t>
                  </w:r>
                </w:p>
              </w:tc>
              <w:tc>
                <w:tcPr/>
                <w:p>
                  <w:pPr>
                    <w:pStyle w:val="Compact"/>
                    <w:jc w:val="center"/>
                  </w:pPr>
                  <w:r>
                    <w:t xml:space="preserve">10</w:t>
                  </w:r>
                </w:p>
              </w:tc>
              <w:tc>
                <w:tcPr/>
                <w:p>
                  <w:pPr>
                    <w:pStyle w:val="Compact"/>
                    <w:jc w:val="center"/>
                  </w:pPr>
                  <w:r>
                    <w:t xml:space="preserve">5</w:t>
                  </w:r>
                </w:p>
              </w:tc>
            </w:tr>
            <w:tr>
              <w:tc>
                <w:tcPr/>
                <w:p>
                  <w:pPr>
                    <w:pStyle w:val="Compact"/>
                    <w:jc w:val="center"/>
                  </w:pPr>
                  <w:r>
                    <w:t xml:space="preserve">spec</w:t>
                  </w:r>
                </w:p>
              </w:tc>
              <w:tc>
                <w:tcPr/>
                <w:p>
                  <w:pPr>
                    <w:pStyle w:val="Compact"/>
                    <w:jc w:val="center"/>
                  </w:pPr>
                  <w:r>
                    <w:t xml:space="preserve">16</w:t>
                  </w:r>
                </w:p>
              </w:tc>
              <w:tc>
                <w:tcPr/>
                <w:p>
                  <w:pPr>
                    <w:pStyle w:val="Compact"/>
                    <w:jc w:val="center"/>
                  </w:pPr>
                  <w:r>
                    <w:t xml:space="preserve">500</w:t>
                  </w:r>
                </w:p>
              </w:tc>
              <w:tc>
                <w:tcPr/>
                <w:p>
                  <w:pPr>
                    <w:pStyle w:val="Compact"/>
                    <w:jc w:val="center"/>
                  </w:pPr>
                  <w:r>
                    <w:t xml:space="preserve">0.8712</w:t>
                  </w:r>
                </w:p>
              </w:tc>
              <w:tc>
                <w:tcPr/>
                <w:p>
                  <w:pPr>
                    <w:pStyle w:val="Compact"/>
                    <w:jc w:val="center"/>
                  </w:pPr>
                  <w:r>
                    <w:t xml:space="preserve">0.0131</w:t>
                  </w:r>
                </w:p>
              </w:tc>
              <w:tc>
                <w:tcPr/>
                <w:p>
                  <w:pPr>
                    <w:pStyle w:val="Compact"/>
                    <w:jc w:val="center"/>
                  </w:pPr>
                  <w:r>
                    <w:t xml:space="preserve">10</w:t>
                  </w:r>
                </w:p>
              </w:tc>
              <w:tc>
                <w:tcPr/>
                <w:p>
                  <w:pPr>
                    <w:pStyle w:val="Compact"/>
                    <w:jc w:val="center"/>
                  </w:pPr>
                  <w:r>
                    <w:t xml:space="preserve">6</w:t>
                  </w:r>
                </w:p>
              </w:tc>
            </w:tr>
            <w:tr>
              <w:tc>
                <w:tcPr/>
                <w:p>
                  <w:pPr>
                    <w:pStyle w:val="Compact"/>
                    <w:jc w:val="center"/>
                  </w:pPr>
                  <w:r>
                    <w:t xml:space="preserve">spec</w:t>
                  </w:r>
                </w:p>
              </w:tc>
              <w:tc>
                <w:tcPr/>
                <w:p>
                  <w:pPr>
                    <w:pStyle w:val="Compact"/>
                    <w:jc w:val="center"/>
                  </w:pPr>
                  <w:r>
                    <w:t xml:space="preserve">22</w:t>
                  </w:r>
                </w:p>
              </w:tc>
              <w:tc>
                <w:tcPr/>
                <w:p>
                  <w:pPr>
                    <w:pStyle w:val="Compact"/>
                    <w:jc w:val="center"/>
                  </w:pPr>
                  <w:r>
                    <w:t xml:space="preserve">500</w:t>
                  </w:r>
                </w:p>
              </w:tc>
              <w:tc>
                <w:tcPr/>
                <w:p>
                  <w:pPr>
                    <w:pStyle w:val="Compact"/>
                    <w:jc w:val="center"/>
                  </w:pPr>
                  <w:r>
                    <w:t xml:space="preserve">0.8563</w:t>
                  </w:r>
                </w:p>
              </w:tc>
              <w:tc>
                <w:tcPr/>
                <w:p>
                  <w:pPr>
                    <w:pStyle w:val="Compact"/>
                    <w:jc w:val="center"/>
                  </w:pPr>
                  <w:r>
                    <w:t xml:space="preserve">0.0142</w:t>
                  </w:r>
                </w:p>
              </w:tc>
              <w:tc>
                <w:tcPr/>
                <w:p>
                  <w:pPr>
                    <w:pStyle w:val="Compact"/>
                    <w:jc w:val="center"/>
                  </w:pPr>
                  <w:r>
                    <w:t xml:space="preserve">10</w:t>
                  </w:r>
                </w:p>
              </w:tc>
              <w:tc>
                <w:tcPr/>
                <w:p>
                  <w:pPr>
                    <w:pStyle w:val="Compact"/>
                    <w:jc w:val="center"/>
                  </w:pPr>
                  <w:r>
                    <w:t xml:space="preserve">7</w:t>
                  </w:r>
                </w:p>
              </w:tc>
            </w:tr>
            <w:tr>
              <w:tc>
                <w:tcPr/>
                <w:p>
                  <w:pPr>
                    <w:pStyle w:val="Compact"/>
                    <w:jc w:val="center"/>
                  </w:pPr>
                  <w:r>
                    <w:t xml:space="preserve">spec</w:t>
                  </w:r>
                </w:p>
              </w:tc>
              <w:tc>
                <w:tcPr/>
                <w:p>
                  <w:pPr>
                    <w:pStyle w:val="Compact"/>
                    <w:jc w:val="center"/>
                  </w:pPr>
                  <w:r>
                    <w:t xml:space="preserve">29</w:t>
                  </w:r>
                </w:p>
              </w:tc>
              <w:tc>
                <w:tcPr/>
                <w:p>
                  <w:pPr>
                    <w:pStyle w:val="Compact"/>
                    <w:jc w:val="center"/>
                  </w:pPr>
                  <w:r>
                    <w:t xml:space="preserve">500</w:t>
                  </w:r>
                </w:p>
              </w:tc>
              <w:tc>
                <w:tcPr/>
                <w:p>
                  <w:pPr>
                    <w:pStyle w:val="Compact"/>
                    <w:jc w:val="center"/>
                  </w:pPr>
                  <w:r>
                    <w:t xml:space="preserve">0.8453</w:t>
                  </w:r>
                </w:p>
              </w:tc>
              <w:tc>
                <w:tcPr/>
                <w:p>
                  <w:pPr>
                    <w:pStyle w:val="Compact"/>
                    <w:jc w:val="center"/>
                  </w:pPr>
                  <w:r>
                    <w:t xml:space="preserve">0.0147</w:t>
                  </w:r>
                </w:p>
              </w:tc>
              <w:tc>
                <w:tcPr/>
                <w:p>
                  <w:pPr>
                    <w:pStyle w:val="Compact"/>
                    <w:jc w:val="center"/>
                  </w:pPr>
                  <w:r>
                    <w:t xml:space="preserve">10</w:t>
                  </w:r>
                </w:p>
              </w:tc>
              <w:tc>
                <w:tcPr/>
                <w:p>
                  <w:pPr>
                    <w:pStyle w:val="Compact"/>
                    <w:jc w:val="center"/>
                  </w:pPr>
                  <w:r>
                    <w:t xml:space="preserve">8</w:t>
                  </w:r>
                </w:p>
              </w:tc>
            </w:tr>
            <w:tr>
              <w:tc>
                <w:tcPr/>
                <w:p>
                  <w:pPr>
                    <w:pStyle w:val="Compact"/>
                    <w:jc w:val="center"/>
                  </w:pPr>
                  <w:r>
                    <w:t xml:space="preserve">spec</w:t>
                  </w:r>
                </w:p>
              </w:tc>
              <w:tc>
                <w:tcPr/>
                <w:p>
                  <w:pPr>
                    <w:pStyle w:val="Compact"/>
                    <w:jc w:val="center"/>
                  </w:pPr>
                  <w:r>
                    <w:t xml:space="preserve">10</w:t>
                  </w:r>
                </w:p>
              </w:tc>
              <w:tc>
                <w:tcPr/>
                <w:p>
                  <w:pPr>
                    <w:pStyle w:val="Compact"/>
                    <w:jc w:val="center"/>
                  </w:pPr>
                  <w:r>
                    <w:t xml:space="preserve">200</w:t>
                  </w:r>
                </w:p>
              </w:tc>
              <w:tc>
                <w:tcPr/>
                <w:p>
                  <w:pPr>
                    <w:pStyle w:val="Compact"/>
                    <w:jc w:val="center"/>
                  </w:pPr>
                  <w:r>
                    <w:t xml:space="preserve">0.8391</w:t>
                  </w:r>
                </w:p>
              </w:tc>
              <w:tc>
                <w:tcPr/>
                <w:p>
                  <w:pPr>
                    <w:pStyle w:val="Compact"/>
                    <w:jc w:val="center"/>
                  </w:pPr>
                  <w:r>
                    <w:t xml:space="preserve">0.0148</w:t>
                  </w:r>
                </w:p>
              </w:tc>
              <w:tc>
                <w:tcPr/>
                <w:p>
                  <w:pPr>
                    <w:pStyle w:val="Compact"/>
                    <w:jc w:val="center"/>
                  </w:pPr>
                  <w:r>
                    <w:t xml:space="preserve">10</w:t>
                  </w:r>
                </w:p>
              </w:tc>
              <w:tc>
                <w:tcPr/>
                <w:p>
                  <w:pPr>
                    <w:pStyle w:val="Compact"/>
                    <w:jc w:val="center"/>
                  </w:pPr>
                  <w:r>
                    <w:t xml:space="preserve">9</w:t>
                  </w:r>
                </w:p>
              </w:tc>
            </w:tr>
            <w:tr>
              <w:tc>
                <w:tcPr/>
                <w:p>
                  <w:pPr>
                    <w:pStyle w:val="Compact"/>
                    <w:jc w:val="center"/>
                  </w:pPr>
                  <w:r>
                    <w:t xml:space="preserve">spec</w:t>
                  </w:r>
                </w:p>
              </w:tc>
              <w:tc>
                <w:tcPr/>
                <w:p>
                  <w:pPr>
                    <w:pStyle w:val="Compact"/>
                    <w:jc w:val="center"/>
                  </w:pPr>
                  <w:r>
                    <w:t xml:space="preserve">22</w:t>
                  </w:r>
                </w:p>
              </w:tc>
              <w:tc>
                <w:tcPr/>
                <w:p>
                  <w:pPr>
                    <w:pStyle w:val="Compact"/>
                    <w:jc w:val="center"/>
                  </w:pPr>
                  <w:r>
                    <w:t xml:space="preserve">200</w:t>
                  </w:r>
                </w:p>
              </w:tc>
              <w:tc>
                <w:tcPr/>
                <w:p>
                  <w:pPr>
                    <w:pStyle w:val="Compact"/>
                    <w:jc w:val="center"/>
                  </w:pPr>
                  <w:r>
                    <w:t xml:space="preserve">0.8241</w:t>
                  </w:r>
                </w:p>
              </w:tc>
              <w:tc>
                <w:tcPr/>
                <w:p>
                  <w:pPr>
                    <w:pStyle w:val="Compact"/>
                    <w:jc w:val="center"/>
                  </w:pPr>
                  <w:r>
                    <w:t xml:space="preserve">0.0151</w:t>
                  </w:r>
                </w:p>
              </w:tc>
              <w:tc>
                <w:tcPr/>
                <w:p>
                  <w:pPr>
                    <w:pStyle w:val="Compact"/>
                    <w:jc w:val="center"/>
                  </w:pPr>
                  <w:r>
                    <w:t xml:space="preserve">10</w:t>
                  </w:r>
                </w:p>
              </w:tc>
              <w:tc>
                <w:tcPr/>
                <w:p>
                  <w:pPr>
                    <w:pStyle w:val="Compact"/>
                    <w:jc w:val="center"/>
                  </w:pPr>
                  <w:r>
                    <w:t xml:space="preserve">10</w:t>
                  </w:r>
                </w:p>
              </w:tc>
            </w:tr>
            <w:tr>
              <w:tc>
                <w:tcPr/>
                <w:p>
                  <w:pPr>
                    <w:pStyle w:val="Compact"/>
                    <w:jc w:val="center"/>
                  </w:pPr>
                  <w:r>
                    <w:t xml:space="preserve">spec</w:t>
                  </w:r>
                </w:p>
              </w:tc>
              <w:tc>
                <w:tcPr/>
                <w:p>
                  <w:pPr>
                    <w:pStyle w:val="Compact"/>
                    <w:jc w:val="center"/>
                  </w:pPr>
                  <w:r>
                    <w:t xml:space="preserve">16</w:t>
                  </w:r>
                </w:p>
              </w:tc>
              <w:tc>
                <w:tcPr/>
                <w:p>
                  <w:pPr>
                    <w:pStyle w:val="Compact"/>
                    <w:jc w:val="center"/>
                  </w:pPr>
                  <w:r>
                    <w:t xml:space="preserve">200</w:t>
                  </w:r>
                </w:p>
              </w:tc>
              <w:tc>
                <w:tcPr/>
                <w:p>
                  <w:pPr>
                    <w:pStyle w:val="Compact"/>
                    <w:jc w:val="center"/>
                  </w:pPr>
                  <w:r>
                    <w:t xml:space="preserve">0.8234</w:t>
                  </w:r>
                </w:p>
              </w:tc>
              <w:tc>
                <w:tcPr/>
                <w:p>
                  <w:pPr>
                    <w:pStyle w:val="Compact"/>
                    <w:jc w:val="center"/>
                  </w:pPr>
                  <w:r>
                    <w:t xml:space="preserve">0.0131</w:t>
                  </w:r>
                </w:p>
              </w:tc>
              <w:tc>
                <w:tcPr/>
                <w:p>
                  <w:pPr>
                    <w:pStyle w:val="Compact"/>
                    <w:jc w:val="center"/>
                  </w:pPr>
                  <w:r>
                    <w:t xml:space="preserve">10</w:t>
                  </w:r>
                </w:p>
              </w:tc>
              <w:tc>
                <w:tcPr/>
                <w:p>
                  <w:pPr>
                    <w:pStyle w:val="Compact"/>
                    <w:jc w:val="center"/>
                  </w:pPr>
                  <w:r>
                    <w:t xml:space="preserve">11</w:t>
                  </w:r>
                </w:p>
              </w:tc>
            </w:tr>
            <w:tr>
              <w:tc>
                <w:tcPr/>
                <w:p>
                  <w:pPr>
                    <w:pStyle w:val="Compact"/>
                    <w:jc w:val="center"/>
                  </w:pPr>
                  <w:r>
                    <w:t xml:space="preserve">spec</w:t>
                  </w:r>
                </w:p>
              </w:tc>
              <w:tc>
                <w:tcPr/>
                <w:p>
                  <w:pPr>
                    <w:pStyle w:val="Compact"/>
                    <w:jc w:val="center"/>
                  </w:pPr>
                  <w:r>
                    <w:t xml:space="preserve">29</w:t>
                  </w:r>
                </w:p>
              </w:tc>
              <w:tc>
                <w:tcPr/>
                <w:p>
                  <w:pPr>
                    <w:pStyle w:val="Compact"/>
                    <w:jc w:val="center"/>
                  </w:pPr>
                  <w:r>
                    <w:t xml:space="preserve">200</w:t>
                  </w:r>
                </w:p>
              </w:tc>
              <w:tc>
                <w:tcPr/>
                <w:p>
                  <w:pPr>
                    <w:pStyle w:val="Compact"/>
                    <w:jc w:val="center"/>
                  </w:pPr>
                  <w:r>
                    <w:t xml:space="preserve">0.8155</w:t>
                  </w:r>
                </w:p>
              </w:tc>
              <w:tc>
                <w:tcPr/>
                <w:p>
                  <w:pPr>
                    <w:pStyle w:val="Compact"/>
                    <w:jc w:val="center"/>
                  </w:pPr>
                  <w:r>
                    <w:t xml:space="preserve">0.0130</w:t>
                  </w:r>
                </w:p>
              </w:tc>
              <w:tc>
                <w:tcPr/>
                <w:p>
                  <w:pPr>
                    <w:pStyle w:val="Compact"/>
                    <w:jc w:val="center"/>
                  </w:pPr>
                  <w:r>
                    <w:t xml:space="preserve">10</w:t>
                  </w:r>
                </w:p>
              </w:tc>
              <w:tc>
                <w:tcPr/>
                <w:p>
                  <w:pPr>
                    <w:pStyle w:val="Compact"/>
                    <w:jc w:val="center"/>
                  </w:pPr>
                  <w:r>
                    <w:t xml:space="preserve">12</w:t>
                  </w:r>
                </w:p>
              </w:tc>
            </w:tr>
          </w:tbl>
          <w:bookmarkEnd w:id="203"/>
          <w:p/>
        </w:tc>
      </w:tr>
    </w:tbl>
    <w:bookmarkEnd w:id="204"/>
    <w:bookmarkStart w:id="209" w:name="predictive-ranger-shap-summary-plot"/>
    <w:p>
      <w:pPr>
        <w:pStyle w:val="Heading4"/>
      </w:pPr>
      <w:r>
        <w:t xml:space="preserve">Predictive ranger SHAP summary plot</w:t>
      </w:r>
    </w:p>
    <w:tbl>
      <w:tblPr>
        <w:tblStyle w:val="Table"/>
        <w:tblW w:type="pct" w:w="5000"/>
        <w:tblLayout w:type="fixed"/>
        <w:tblLook w:firstRow="0" w:lastRow="0" w:firstColumn="0" w:lastColumn="0" w:noHBand="0" w:noVBand="0" w:val="0000"/>
      </w:tblPr>
      <w:tblGrid>
        <w:gridCol w:w="7920"/>
      </w:tblGrid>
      <w:tr>
        <w:tc>
          <w:tcPr/>
          <w:bookmarkStart w:id="208" w:name="fig-appendix-shap-summary"/>
          <w:p>
            <w:pPr>
              <w:pStyle w:val="Compact"/>
              <w:jc w:val="center"/>
            </w:pPr>
            <w:r>
              <w:drawing>
                <wp:inline>
                  <wp:extent cx="5334000" cy="4305470"/>
                  <wp:effectExtent b="0" l="0" r="0" t="0"/>
                  <wp:docPr descr="" title="" id="206" name="Picture"/>
                  <a:graphic>
                    <a:graphicData uri="http://schemas.openxmlformats.org/drawingml/2006/picture">
                      <pic:pic>
                        <pic:nvPicPr>
                          <pic:cNvPr descr="MSE_Thesis_Decomposition_of_CI_Trees_MM_files/figure-docx/fig-appendix-shap-summary-1.pdf" id="207" name="Picture"/>
                          <pic:cNvPicPr>
                            <a:picLocks noChangeArrowheads="1" noChangeAspect="1"/>
                          </pic:cNvPicPr>
                        </pic:nvPicPr>
                        <pic:blipFill>
                          <a:blip r:embed="rId205"/>
                          <a:stretch>
                            <a:fillRect/>
                          </a:stretch>
                        </pic:blipFill>
                        <pic:spPr bwMode="auto">
                          <a:xfrm>
                            <a:off x="0" y="0"/>
                            <a:ext cx="5334000" cy="4305470"/>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SHAP summary plot for the predictive ranger model.</w:t>
            </w:r>
          </w:p>
          <w:bookmarkEnd w:id="208"/>
        </w:tc>
      </w:tr>
    </w:tbl>
    <w:bookmarkEnd w:id="209"/>
    <w:bookmarkEnd w:id="210"/>
    <w:bookmarkStart w:id="221" w:name="Xc0cb797fc2fdf422f95146b8ada50cb6a8aaa8e"/>
    <w:p>
      <w:pPr>
        <w:pStyle w:val="Heading3"/>
      </w:pPr>
      <w:r>
        <w:t xml:space="preserve">Appendix R3: Concentration-Index Tree Details</w:t>
      </w:r>
    </w:p>
    <w:bookmarkStart w:id="212" w:name="tree-tuning-and-selection-details"/>
    <w:p>
      <w:pPr>
        <w:pStyle w:val="Heading4"/>
      </w:pPr>
      <w:r>
        <w:t xml:space="preserve">Tree tuning and selection details</w:t>
      </w:r>
    </w:p>
    <w:tbl>
      <w:tblPr>
        <w:tblStyle w:val="Table"/>
        <w:tblW w:type="pct" w:w="5000"/>
        <w:tblLayout w:type="fixed"/>
        <w:tblLook w:firstRow="0" w:lastRow="0" w:firstColumn="0" w:lastColumn="0" w:noHBand="0" w:noVBand="0" w:val="0000"/>
      </w:tblPr>
      <w:tblGrid>
        <w:gridCol w:w="7920"/>
      </w:tblGrid>
      <w:tr>
        <w:tc>
          <w:tcPr/>
          <w:bookmarkStart w:id="211" w:name="tbl-appendix-tree-best-controls"/>
          <w:p>
            <w:pPr>
              <w:jc w:val="center"/>
            </w:pPr>
            <w:pPr>
              <w:jc w:val="left"/>
              <w:spacing w:before="200"/>
              <w:pStyle w:val="ImageCaption"/>
            </w:pPr>
            <w:r>
              <w:t xml:space="preserve">Table 6: Best tree hyperparameters selected by validation gain within each impurity criterion.</w:t>
            </w:r>
          </w:p>
          <w:p>
            <w:pPr>
              <w:pStyle w:val="Compact"/>
              <w:jc w:val="center"/>
            </w:pPr>
            <w:r>
              <w:t xml:space="preserve">Best tree hyperparameters selected by validation gain within each impurity criterion</w:t>
            </w:r>
          </w:p>
          <w:tbl>
            <w:tblPr>
              <w:tblStyle w:val="Table"/>
              <w:tblW w:type="pct" w:w="5000"/>
              <w:tblLayout w:type="fixed"/>
              <w:tblLook w:firstRow="1" w:lastRow="0" w:firstColumn="0" w:lastColumn="0" w:noHBand="0" w:noVBand="0" w:val="0020"/>
              <w:tblCaption w:val="Best tree hyperparameters selected by validation gain within each impurity criterion"/>
            </w:tblPr>
            <w:tblGrid>
              <w:gridCol w:w="633"/>
              <w:gridCol w:w="1056"/>
              <w:gridCol w:w="1161"/>
              <w:gridCol w:w="950"/>
              <w:gridCol w:w="1056"/>
              <w:gridCol w:w="1056"/>
              <w:gridCol w:w="2006"/>
            </w:tblGrid>
            <w:tr>
              <w:trPr>
                <w:tblHeader w:val="on"/>
              </w:trPr>
              <w:tc>
                <w:tcPr/>
                <w:p>
                  <w:pPr>
                    <w:pStyle w:val="Compact"/>
                    <w:jc w:val="center"/>
                  </w:pPr>
                  <w:r>
                    <w:t xml:space="preserve">type</w:t>
                  </w:r>
                </w:p>
              </w:tc>
              <w:tc>
                <w:tcPr/>
                <w:p>
                  <w:pPr>
                    <w:pStyle w:val="Compact"/>
                    <w:jc w:val="center"/>
                  </w:pPr>
                  <w:r>
                    <w:t xml:space="preserve">minsplit</w:t>
                  </w:r>
                </w:p>
              </w:tc>
              <w:tc>
                <w:tcPr/>
                <w:p>
                  <w:pPr>
                    <w:pStyle w:val="Compact"/>
                    <w:jc w:val="center"/>
                  </w:pPr>
                  <w:r>
                    <w:t xml:space="preserve">minbucket</w:t>
                  </w:r>
                </w:p>
              </w:tc>
              <w:tc>
                <w:tcPr/>
                <w:p>
                  <w:pPr>
                    <w:pStyle w:val="Compact"/>
                    <w:jc w:val="center"/>
                  </w:pPr>
                  <w:r>
                    <w:t xml:space="preserve">minprob</w:t>
                  </w:r>
                </w:p>
              </w:tc>
              <w:tc>
                <w:tcPr/>
                <w:p>
                  <w:pPr>
                    <w:pStyle w:val="Compact"/>
                    <w:jc w:val="center"/>
                  </w:pPr>
                  <w:r>
                    <w:t xml:space="preserve">maxdepth</w:t>
                  </w:r>
                </w:p>
              </w:tc>
              <w:tc>
                <w:tcPr/>
                <w:p>
                  <w:pPr>
                    <w:pStyle w:val="Compact"/>
                    <w:jc w:val="center"/>
                  </w:pPr>
                  <w:r>
                    <w:t xml:space="preserve">min_gain</w:t>
                  </w:r>
                </w:p>
              </w:tc>
              <w:tc>
                <w:tcPr/>
                <w:p>
                  <w:pPr>
                    <w:pStyle w:val="Compact"/>
                    <w:jc w:val="center"/>
                  </w:pPr>
                  <w:r>
                    <w:t xml:space="preserve">min_relative_gain</w:t>
                  </w:r>
                </w:p>
              </w:tc>
            </w:tr>
            <w:tr>
              <w:tc>
                <w:tcPr/>
                <w:p>
                  <w:pPr>
                    <w:pStyle w:val="Compact"/>
                    <w:jc w:val="center"/>
                  </w:pPr>
                  <w:r>
                    <w:t xml:space="preserve">CI</w:t>
                  </w:r>
                </w:p>
              </w:tc>
              <w:tc>
                <w:tcPr/>
                <w:p>
                  <w:pPr>
                    <w:pStyle w:val="Compact"/>
                    <w:jc w:val="center"/>
                  </w:pPr>
                  <w:r>
                    <w:t xml:space="preserve">500</w:t>
                  </w:r>
                </w:p>
              </w:tc>
              <w:tc>
                <w:tcPr/>
                <w:p>
                  <w:pPr>
                    <w:pStyle w:val="Compact"/>
                    <w:jc w:val="center"/>
                  </w:pPr>
                  <w:r>
                    <w:t xml:space="preserve">100</w:t>
                  </w:r>
                </w:p>
              </w:tc>
              <w:tc>
                <w:tcPr/>
                <w:p>
                  <w:pPr>
                    <w:pStyle w:val="Compact"/>
                    <w:jc w:val="center"/>
                  </w:pPr>
                  <w:r>
                    <w:t xml:space="preserve">0.01</w:t>
                  </w:r>
                </w:p>
              </w:tc>
              <w:tc>
                <w:tcPr/>
                <w:p>
                  <w:pPr>
                    <w:pStyle w:val="Compact"/>
                    <w:jc w:val="center"/>
                  </w:pPr>
                  <w:r>
                    <w:t xml:space="preserve">10</w:t>
                  </w:r>
                </w:p>
              </w:tc>
              <w:tc>
                <w:tcPr/>
                <w:p>
                  <w:pPr>
                    <w:pStyle w:val="Compact"/>
                    <w:jc w:val="center"/>
                  </w:pPr>
                  <w:r>
                    <w:t xml:space="preserve">1e-04</w:t>
                  </w:r>
                </w:p>
              </w:tc>
              <w:tc>
                <w:tcPr/>
                <w:p>
                  <w:pPr>
                    <w:pStyle w:val="Compact"/>
                    <w:jc w:val="center"/>
                  </w:pPr>
                  <w:r>
                    <w:t xml:space="preserve">0.3</w:t>
                  </w:r>
                </w:p>
              </w:tc>
            </w:tr>
            <w:tr>
              <w:tc>
                <w:tcPr/>
                <w:p>
                  <w:pPr>
                    <w:pStyle w:val="Compact"/>
                    <w:jc w:val="center"/>
                  </w:pPr>
                  <w:r>
                    <w:t xml:space="preserve">CIg</w:t>
                  </w:r>
                </w:p>
              </w:tc>
              <w:tc>
                <w:tcPr/>
                <w:p>
                  <w:pPr>
                    <w:pStyle w:val="Compact"/>
                    <w:jc w:val="center"/>
                  </w:pPr>
                  <w:r>
                    <w:t xml:space="preserve">500</w:t>
                  </w:r>
                </w:p>
              </w:tc>
              <w:tc>
                <w:tcPr/>
                <w:p>
                  <w:pPr>
                    <w:pStyle w:val="Compact"/>
                    <w:jc w:val="center"/>
                  </w:pPr>
                  <w:r>
                    <w:t xml:space="preserve">100</w:t>
                  </w:r>
                </w:p>
              </w:tc>
              <w:tc>
                <w:tcPr/>
                <w:p>
                  <w:pPr>
                    <w:pStyle w:val="Compact"/>
                    <w:jc w:val="center"/>
                  </w:pPr>
                  <w:r>
                    <w:t xml:space="preserve">0.01</w:t>
                  </w:r>
                </w:p>
              </w:tc>
              <w:tc>
                <w:tcPr/>
                <w:p>
                  <w:pPr>
                    <w:pStyle w:val="Compact"/>
                    <w:jc w:val="center"/>
                  </w:pPr>
                  <w:r>
                    <w:t xml:space="preserve">10</w:t>
                  </w:r>
                </w:p>
              </w:tc>
              <w:tc>
                <w:tcPr/>
                <w:p>
                  <w:pPr>
                    <w:pStyle w:val="Compact"/>
                    <w:jc w:val="center"/>
                  </w:pPr>
                  <w:r>
                    <w:t xml:space="preserve">1e-04</w:t>
                  </w:r>
                </w:p>
              </w:tc>
              <w:tc>
                <w:tcPr/>
                <w:p>
                  <w:pPr>
                    <w:pStyle w:val="Compact"/>
                    <w:jc w:val="center"/>
                  </w:pPr>
                  <w:r>
                    <w:t xml:space="preserve">0.3</w:t>
                  </w:r>
                </w:p>
              </w:tc>
            </w:tr>
            <w:tr>
              <w:tc>
                <w:tcPr/>
                <w:p>
                  <w:pPr>
                    <w:pStyle w:val="Compact"/>
                    <w:jc w:val="center"/>
                  </w:pPr>
                  <w:r>
                    <w:t xml:space="preserve">CIc</w:t>
                  </w:r>
                </w:p>
              </w:tc>
              <w:tc>
                <w:tcPr/>
                <w:p>
                  <w:pPr>
                    <w:pStyle w:val="Compact"/>
                    <w:jc w:val="center"/>
                  </w:pPr>
                  <w:r>
                    <w:t xml:space="preserve">500</w:t>
                  </w:r>
                </w:p>
              </w:tc>
              <w:tc>
                <w:tcPr/>
                <w:p>
                  <w:pPr>
                    <w:pStyle w:val="Compact"/>
                    <w:jc w:val="center"/>
                  </w:pPr>
                  <w:r>
                    <w:t xml:space="preserve">100</w:t>
                  </w:r>
                </w:p>
              </w:tc>
              <w:tc>
                <w:tcPr/>
                <w:p>
                  <w:pPr>
                    <w:pStyle w:val="Compact"/>
                    <w:jc w:val="center"/>
                  </w:pPr>
                  <w:r>
                    <w:t xml:space="preserve">0.01</w:t>
                  </w:r>
                </w:p>
              </w:tc>
              <w:tc>
                <w:tcPr/>
                <w:p>
                  <w:pPr>
                    <w:pStyle w:val="Compact"/>
                    <w:jc w:val="center"/>
                  </w:pPr>
                  <w:r>
                    <w:t xml:space="preserve">10</w:t>
                  </w:r>
                </w:p>
              </w:tc>
              <w:tc>
                <w:tcPr/>
                <w:p>
                  <w:pPr>
                    <w:pStyle w:val="Compact"/>
                    <w:jc w:val="center"/>
                  </w:pPr>
                  <w:r>
                    <w:t xml:space="preserve">1e-04</w:t>
                  </w:r>
                </w:p>
              </w:tc>
              <w:tc>
                <w:tcPr/>
                <w:p>
                  <w:pPr>
                    <w:pStyle w:val="Compact"/>
                    <w:jc w:val="center"/>
                  </w:pPr>
                  <w:r>
                    <w:t xml:space="preserve">0.3</w:t>
                  </w:r>
                </w:p>
              </w:tc>
            </w:tr>
            <w:tr>
              <w:tc>
                <w:tcPr/>
                <w:p>
                  <w:pPr>
                    <w:pStyle w:val="Compact"/>
                    <w:jc w:val="center"/>
                  </w:pPr>
                  <w:r>
                    <w:t xml:space="preserve">L</w:t>
                  </w:r>
                </w:p>
              </w:tc>
              <w:tc>
                <w:tcPr/>
                <w:p>
                  <w:pPr>
                    <w:pStyle w:val="Compact"/>
                    <w:jc w:val="center"/>
                  </w:pPr>
                  <w:r>
                    <w:t xml:space="preserve">500</w:t>
                  </w:r>
                </w:p>
              </w:tc>
              <w:tc>
                <w:tcPr/>
                <w:p>
                  <w:pPr>
                    <w:pStyle w:val="Compact"/>
                    <w:jc w:val="center"/>
                  </w:pPr>
                  <w:r>
                    <w:t xml:space="preserve">100</w:t>
                  </w:r>
                </w:p>
              </w:tc>
              <w:tc>
                <w:tcPr/>
                <w:p>
                  <w:pPr>
                    <w:pStyle w:val="Compact"/>
                    <w:jc w:val="center"/>
                  </w:pPr>
                  <w:r>
                    <w:t xml:space="preserve">0.01</w:t>
                  </w:r>
                </w:p>
              </w:tc>
              <w:tc>
                <w:tcPr/>
                <w:p>
                  <w:pPr>
                    <w:pStyle w:val="Compact"/>
                    <w:jc w:val="center"/>
                  </w:pPr>
                  <w:r>
                    <w:t xml:space="preserve">10</w:t>
                  </w:r>
                </w:p>
              </w:tc>
              <w:tc>
                <w:tcPr/>
                <w:p>
                  <w:pPr>
                    <w:pStyle w:val="Compact"/>
                    <w:jc w:val="center"/>
                  </w:pPr>
                  <w:r>
                    <w:t xml:space="preserve">1e-04</w:t>
                  </w:r>
                </w:p>
              </w:tc>
              <w:tc>
                <w:tcPr/>
                <w:p>
                  <w:pPr>
                    <w:pStyle w:val="Compact"/>
                    <w:jc w:val="center"/>
                  </w:pPr>
                  <w:r>
                    <w:t xml:space="preserve">0.3</w:t>
                  </w:r>
                </w:p>
              </w:tc>
            </w:tr>
          </w:tbl>
          <w:bookmarkEnd w:id="211"/>
          <w:p/>
        </w:tc>
      </w:tr>
    </w:tbl>
    <w:bookmarkEnd w:id="212"/>
    <w:bookmarkStart w:id="214" w:name="tree-fit-and-selection-summaries"/>
    <w:p>
      <w:pPr>
        <w:pStyle w:val="Heading4"/>
      </w:pPr>
      <w:r>
        <w:t xml:space="preserve">Tree fit and selection summaries</w:t>
      </w:r>
    </w:p>
    <w:tbl>
      <w:tblPr>
        <w:tblStyle w:val="Table"/>
        <w:tblW w:type="pct" w:w="5000"/>
        <w:tblLayout w:type="fixed"/>
        <w:tblLook w:firstRow="0" w:lastRow="0" w:firstColumn="0" w:lastColumn="0" w:noHBand="0" w:noVBand="0" w:val="0000"/>
      </w:tblPr>
      <w:tblGrid>
        <w:gridCol w:w="7920"/>
      </w:tblGrid>
      <w:tr>
        <w:tc>
          <w:tcPr/>
          <w:bookmarkStart w:id="213" w:name="X2ecc647078c6f204983c407a7f2a7522ea4dd98"/>
          <w:p>
            <w:pPr>
              <w:jc w:val="center"/>
            </w:pPr>
            <w:pPr>
              <w:jc w:val="left"/>
              <w:spacing w:before="200"/>
              <w:pStyle w:val="ImageCaption"/>
            </w:pPr>
            <w:r>
              <w:t xml:space="preserve">Table 7: Tree summary for the selected settings.</w:t>
            </w:r>
          </w:p>
          <w:p>
            <w:pPr>
              <w:pStyle w:val="Compact"/>
              <w:jc w:val="center"/>
            </w:pPr>
            <w:r>
              <w:t xml:space="preserve">Tree summary for the selected settings</w:t>
            </w:r>
          </w:p>
          <w:tbl>
            <w:tblPr>
              <w:tblStyle w:val="Table"/>
              <w:tblW w:type="auto" w:w="0"/>
              <w:tblLook w:firstRow="1" w:lastRow="0" w:firstColumn="0" w:lastColumn="0" w:noHBand="0" w:noVBand="0" w:val="0020"/>
              <w:tblCaption w:val="Tree summary for the selected settings"/>
            </w:tblPr>
            <w:tblGrid>
              <w:gridCol w:w="1980"/>
              <w:gridCol w:w="1980"/>
              <w:gridCol w:w="1980"/>
              <w:gridCol w:w="1980"/>
            </w:tblGrid>
            <w:tr>
              <w:trPr>
                <w:tblHeader w:val="on"/>
              </w:trPr>
              <w:tc>
                <w:tcPr/>
                <w:p>
                  <w:pPr>
                    <w:pStyle w:val="Compact"/>
                    <w:jc w:val="center"/>
                  </w:pPr>
                  <w:r>
                    <w:t xml:space="preserve">criterion</w:t>
                  </w:r>
                </w:p>
              </w:tc>
              <w:tc>
                <w:tcPr/>
                <w:p>
                  <w:pPr>
                    <w:pStyle w:val="Compact"/>
                    <w:jc w:val="center"/>
                  </w:pPr>
                  <w:r>
                    <w:t xml:space="preserve">metric</w:t>
                  </w:r>
                </w:p>
              </w:tc>
              <w:tc>
                <w:tcPr/>
                <w:p>
                  <w:pPr>
                    <w:pStyle w:val="Compact"/>
                    <w:jc w:val="center"/>
                  </w:pPr>
                  <w:r>
                    <w:t xml:space="preserve">estimate</w:t>
                  </w:r>
                </w:p>
              </w:tc>
              <w:tc>
                <w:tcPr/>
                <w:p>
                  <w:pPr>
                    <w:pStyle w:val="Compact"/>
                    <w:jc w:val="center"/>
                  </w:pPr>
                  <w:r>
                    <w:t xml:space="preserve">std_error</w:t>
                  </w:r>
                </w:p>
              </w:tc>
            </w:tr>
            <w:tr>
              <w:tc>
                <w:tcPr/>
                <w:p>
                  <w:pPr>
                    <w:pStyle w:val="Compact"/>
                    <w:jc w:val="center"/>
                  </w:pPr>
                  <w:r>
                    <w:t xml:space="preserve">CI</w:t>
                  </w:r>
                </w:p>
              </w:tc>
              <w:tc>
                <w:tcPr/>
                <w:p>
                  <w:pPr>
                    <w:pStyle w:val="Compact"/>
                    <w:jc w:val="center"/>
                  </w:pPr>
                  <w:r>
                    <w:t xml:space="preserve">Root impurity</w:t>
                  </w:r>
                </w:p>
              </w:tc>
              <w:tc>
                <w:tcPr/>
                <w:p>
                  <w:pPr>
                    <w:pStyle w:val="Compact"/>
                    <w:jc w:val="center"/>
                  </w:pPr>
                  <w:r>
                    <w:t xml:space="preserve">0.1191</w:t>
                  </w:r>
                </w:p>
              </w:tc>
              <w:tc>
                <w:tcPr/>
                <w:p>
                  <w:pPr>
                    <w:pStyle w:val="Compact"/>
                    <w:jc w:val="center"/>
                  </w:pPr>
                  <w:r>
                    <w:t xml:space="preserve">NA</w:t>
                  </w:r>
                </w:p>
              </w:tc>
            </w:tr>
            <w:tr>
              <w:tc>
                <w:tcPr/>
                <w:p>
                  <w:pPr>
                    <w:pStyle w:val="Compact"/>
                    <w:jc w:val="center"/>
                  </w:pPr>
                  <w:r>
                    <w:t xml:space="preserve">CI</w:t>
                  </w:r>
                </w:p>
              </w:tc>
              <w:tc>
                <w:tcPr/>
                <w:p>
                  <w:pPr>
                    <w:pStyle w:val="Compact"/>
                    <w:jc w:val="center"/>
                  </w:pPr>
                  <w:r>
                    <w:t xml:space="preserve">Training gain</w:t>
                  </w:r>
                </w:p>
              </w:tc>
              <w:tc>
                <w:tcPr/>
                <w:p>
                  <w:pPr>
                    <w:pStyle w:val="Compact"/>
                    <w:jc w:val="center"/>
                  </w:pPr>
                  <w:r>
                    <w:t xml:space="preserve">0.1003</w:t>
                  </w:r>
                </w:p>
              </w:tc>
              <w:tc>
                <w:tcPr/>
                <w:p>
                  <w:pPr>
                    <w:pStyle w:val="Compact"/>
                    <w:jc w:val="center"/>
                  </w:pPr>
                  <w:r>
                    <w:t xml:space="preserve">0.0016</w:t>
                  </w:r>
                </w:p>
              </w:tc>
            </w:tr>
            <w:tr>
              <w:tc>
                <w:tcPr/>
                <w:p>
                  <w:pPr>
                    <w:pStyle w:val="Compact"/>
                    <w:jc w:val="center"/>
                  </w:pPr>
                  <w:r>
                    <w:t xml:space="preserve">CI</w:t>
                  </w:r>
                </w:p>
              </w:tc>
              <w:tc>
                <w:tcPr/>
                <w:p>
                  <w:pPr>
                    <w:pStyle w:val="Compact"/>
                    <w:jc w:val="center"/>
                  </w:pPr>
                  <w:r>
                    <w:t xml:space="preserve">Training gain (% root)</w:t>
                  </w:r>
                </w:p>
              </w:tc>
              <w:tc>
                <w:tcPr/>
                <w:p>
                  <w:pPr>
                    <w:pStyle w:val="Compact"/>
                    <w:jc w:val="center"/>
                  </w:pPr>
                  <w:r>
                    <w:t xml:space="preserve">87.0688</w:t>
                  </w:r>
                </w:p>
              </w:tc>
              <w:tc>
                <w:tcPr/>
                <w:p>
                  <w:pPr>
                    <w:pStyle w:val="Compact"/>
                    <w:jc w:val="center"/>
                  </w:pPr>
                  <w:r>
                    <w:t xml:space="preserve">1.5175</w:t>
                  </w:r>
                </w:p>
              </w:tc>
            </w:tr>
            <w:tr>
              <w:tc>
                <w:tcPr/>
                <w:p>
                  <w:pPr>
                    <w:pStyle w:val="Compact"/>
                    <w:jc w:val="center"/>
                  </w:pPr>
                  <w:r>
                    <w:t xml:space="preserve">CI</w:t>
                  </w:r>
                </w:p>
              </w:tc>
              <w:tc>
                <w:tcPr/>
                <w:p>
                  <w:pPr>
                    <w:pStyle w:val="Compact"/>
                    <w:jc w:val="center"/>
                  </w:pPr>
                  <w:r>
                    <w:t xml:space="preserve">Validation gain</w:t>
                  </w:r>
                </w:p>
              </w:tc>
              <w:tc>
                <w:tcPr/>
                <w:p>
                  <w:pPr>
                    <w:pStyle w:val="Compact"/>
                    <w:jc w:val="center"/>
                  </w:pPr>
                  <w:r>
                    <w:t xml:space="preserve">-0.0144</w:t>
                  </w:r>
                </w:p>
              </w:tc>
              <w:tc>
                <w:tcPr/>
                <w:p>
                  <w:pPr>
                    <w:pStyle w:val="Compact"/>
                    <w:jc w:val="center"/>
                  </w:pPr>
                  <w:r>
                    <w:t xml:space="preserve">0.0236</w:t>
                  </w:r>
                </w:p>
              </w:tc>
            </w:tr>
            <w:tr>
              <w:tc>
                <w:tcPr/>
                <w:p>
                  <w:pPr>
                    <w:pStyle w:val="Compact"/>
                    <w:jc w:val="center"/>
                  </w:pPr>
                  <w:r>
                    <w:t xml:space="preserve">CI</w:t>
                  </w:r>
                </w:p>
              </w:tc>
              <w:tc>
                <w:tcPr/>
                <w:p>
                  <w:pPr>
                    <w:pStyle w:val="Compact"/>
                    <w:jc w:val="center"/>
                  </w:pPr>
                  <w:r>
                    <w:t xml:space="preserve">Validation gain (% root)</w:t>
                  </w:r>
                </w:p>
              </w:tc>
              <w:tc>
                <w:tcPr/>
                <w:p>
                  <w:pPr>
                    <w:pStyle w:val="Compact"/>
                    <w:jc w:val="center"/>
                  </w:pPr>
                  <w:r>
                    <w:t xml:space="preserve">-68.2424</w:t>
                  </w:r>
                </w:p>
              </w:tc>
              <w:tc>
                <w:tcPr/>
                <w:p>
                  <w:pPr>
                    <w:pStyle w:val="Compact"/>
                    <w:jc w:val="center"/>
                  </w:pPr>
                  <w:r>
                    <w:t xml:space="preserve">44.7524</w:t>
                  </w:r>
                </w:p>
              </w:tc>
            </w:tr>
            <w:tr>
              <w:tc>
                <w:tcPr/>
                <w:p>
                  <w:pPr>
                    <w:pStyle w:val="Compact"/>
                    <w:jc w:val="center"/>
                  </w:pPr>
                  <w:r>
                    <w:t xml:space="preserve">CIc</w:t>
                  </w:r>
                </w:p>
              </w:tc>
              <w:tc>
                <w:tcPr/>
                <w:p>
                  <w:pPr>
                    <w:pStyle w:val="Compact"/>
                    <w:jc w:val="center"/>
                  </w:pPr>
                  <w:r>
                    <w:t xml:space="preserve">Root impurity</w:t>
                  </w:r>
                </w:p>
              </w:tc>
              <w:tc>
                <w:tcPr/>
                <w:p>
                  <w:pPr>
                    <w:pStyle w:val="Compact"/>
                    <w:jc w:val="center"/>
                  </w:pPr>
                  <w:r>
                    <w:t xml:space="preserve">0.0483</w:t>
                  </w:r>
                </w:p>
              </w:tc>
              <w:tc>
                <w:tcPr/>
                <w:p>
                  <w:pPr>
                    <w:pStyle w:val="Compact"/>
                    <w:jc w:val="center"/>
                  </w:pPr>
                  <w:r>
                    <w:t xml:space="preserve">NA</w:t>
                  </w:r>
                </w:p>
              </w:tc>
            </w:tr>
            <w:tr>
              <w:tc>
                <w:tcPr/>
                <w:p>
                  <w:pPr>
                    <w:pStyle w:val="Compact"/>
                    <w:jc w:val="center"/>
                  </w:pPr>
                  <w:r>
                    <w:t xml:space="preserve">CIc</w:t>
                  </w:r>
                </w:p>
              </w:tc>
              <w:tc>
                <w:tcPr/>
                <w:p>
                  <w:pPr>
                    <w:pStyle w:val="Compact"/>
                    <w:jc w:val="center"/>
                  </w:pPr>
                  <w:r>
                    <w:t xml:space="preserve">Training gain</w:t>
                  </w:r>
                </w:p>
              </w:tc>
              <w:tc>
                <w:tcPr/>
                <w:p>
                  <w:pPr>
                    <w:pStyle w:val="Compact"/>
                    <w:jc w:val="center"/>
                  </w:pPr>
                  <w:r>
                    <w:t xml:space="preserve">0.0417</w:t>
                  </w:r>
                </w:p>
              </w:tc>
              <w:tc>
                <w:tcPr/>
                <w:p>
                  <w:pPr>
                    <w:pStyle w:val="Compact"/>
                    <w:jc w:val="center"/>
                  </w:pPr>
                  <w:r>
                    <w:t xml:space="preserve">0.0008</w:t>
                  </w:r>
                </w:p>
              </w:tc>
            </w:tr>
            <w:tr>
              <w:tc>
                <w:tcPr/>
                <w:p>
                  <w:pPr>
                    <w:pStyle w:val="Compact"/>
                    <w:jc w:val="center"/>
                  </w:pPr>
                  <w:r>
                    <w:t xml:space="preserve">CIc</w:t>
                  </w:r>
                </w:p>
              </w:tc>
              <w:tc>
                <w:tcPr/>
                <w:p>
                  <w:pPr>
                    <w:pStyle w:val="Compact"/>
                    <w:jc w:val="center"/>
                  </w:pPr>
                  <w:r>
                    <w:t xml:space="preserve">Training gain (% root)</w:t>
                  </w:r>
                </w:p>
              </w:tc>
              <w:tc>
                <w:tcPr/>
                <w:p>
                  <w:pPr>
                    <w:pStyle w:val="Compact"/>
                    <w:jc w:val="center"/>
                  </w:pPr>
                  <w:r>
                    <w:t xml:space="preserve">87.5995</w:t>
                  </w:r>
                </w:p>
              </w:tc>
              <w:tc>
                <w:tcPr/>
                <w:p>
                  <w:pPr>
                    <w:pStyle w:val="Compact"/>
                    <w:jc w:val="center"/>
                  </w:pPr>
                  <w:r>
                    <w:t xml:space="preserve">1.4760</w:t>
                  </w:r>
                </w:p>
              </w:tc>
            </w:tr>
            <w:tr>
              <w:tc>
                <w:tcPr/>
                <w:p>
                  <w:pPr>
                    <w:pStyle w:val="Compact"/>
                    <w:jc w:val="center"/>
                  </w:pPr>
                  <w:r>
                    <w:t xml:space="preserve">CIc</w:t>
                  </w:r>
                </w:p>
              </w:tc>
              <w:tc>
                <w:tcPr/>
                <w:p>
                  <w:pPr>
                    <w:pStyle w:val="Compact"/>
                    <w:jc w:val="center"/>
                  </w:pPr>
                  <w:r>
                    <w:t xml:space="preserve">Validation gain</w:t>
                  </w:r>
                </w:p>
              </w:tc>
              <w:tc>
                <w:tcPr/>
                <w:p>
                  <w:pPr>
                    <w:pStyle w:val="Compact"/>
                    <w:jc w:val="center"/>
                  </w:pPr>
                  <w:r>
                    <w:t xml:space="preserve">-0.0107</w:t>
                  </w:r>
                </w:p>
              </w:tc>
              <w:tc>
                <w:tcPr/>
                <w:p>
                  <w:pPr>
                    <w:pStyle w:val="Compact"/>
                    <w:jc w:val="center"/>
                  </w:pPr>
                  <w:r>
                    <w:t xml:space="preserve">0.0134</w:t>
                  </w:r>
                </w:p>
              </w:tc>
            </w:tr>
            <w:tr>
              <w:tc>
                <w:tcPr/>
                <w:p>
                  <w:pPr>
                    <w:pStyle w:val="Compact"/>
                    <w:jc w:val="center"/>
                  </w:pPr>
                  <w:r>
                    <w:t xml:space="preserve">CIc</w:t>
                  </w:r>
                </w:p>
              </w:tc>
              <w:tc>
                <w:tcPr/>
                <w:p>
                  <w:pPr>
                    <w:pStyle w:val="Compact"/>
                    <w:jc w:val="center"/>
                  </w:pPr>
                  <w:r>
                    <w:t xml:space="preserve">Validation gain (% root)</w:t>
                  </w:r>
                </w:p>
              </w:tc>
              <w:tc>
                <w:tcPr/>
                <w:p>
                  <w:pPr>
                    <w:pStyle w:val="Compact"/>
                    <w:jc w:val="center"/>
                  </w:pPr>
                  <w:r>
                    <w:t xml:space="preserve">-73.1067</w:t>
                  </w:r>
                </w:p>
              </w:tc>
              <w:tc>
                <w:tcPr/>
                <w:p>
                  <w:pPr>
                    <w:pStyle w:val="Compact"/>
                    <w:jc w:val="center"/>
                  </w:pPr>
                  <w:r>
                    <w:t xml:space="preserve">39.0032</w:t>
                  </w:r>
                </w:p>
              </w:tc>
            </w:tr>
            <w:tr>
              <w:tc>
                <w:tcPr/>
                <w:p>
                  <w:pPr>
                    <w:pStyle w:val="Compact"/>
                    <w:jc w:val="center"/>
                  </w:pPr>
                  <w:r>
                    <w:t xml:space="preserve">CIg</w:t>
                  </w:r>
                </w:p>
              </w:tc>
              <w:tc>
                <w:tcPr/>
                <w:p>
                  <w:pPr>
                    <w:pStyle w:val="Compact"/>
                    <w:jc w:val="center"/>
                  </w:pPr>
                  <w:r>
                    <w:t xml:space="preserve">Root impurity</w:t>
                  </w:r>
                </w:p>
              </w:tc>
              <w:tc>
                <w:tcPr/>
                <w:p>
                  <w:pPr>
                    <w:pStyle w:val="Compact"/>
                    <w:jc w:val="center"/>
                  </w:pPr>
                  <w:r>
                    <w:t xml:space="preserve">0.0121</w:t>
                  </w:r>
                </w:p>
              </w:tc>
              <w:tc>
                <w:tcPr/>
                <w:p>
                  <w:pPr>
                    <w:pStyle w:val="Compact"/>
                    <w:jc w:val="center"/>
                  </w:pPr>
                  <w:r>
                    <w:t xml:space="preserve">NA</w:t>
                  </w:r>
                </w:p>
              </w:tc>
            </w:tr>
            <w:tr>
              <w:tc>
                <w:tcPr/>
                <w:p>
                  <w:pPr>
                    <w:pStyle w:val="Compact"/>
                    <w:jc w:val="center"/>
                  </w:pPr>
                  <w:r>
                    <w:t xml:space="preserve">CIg</w:t>
                  </w:r>
                </w:p>
              </w:tc>
              <w:tc>
                <w:tcPr/>
                <w:p>
                  <w:pPr>
                    <w:pStyle w:val="Compact"/>
                    <w:jc w:val="center"/>
                  </w:pPr>
                  <w:r>
                    <w:t xml:space="preserve">Training gain</w:t>
                  </w:r>
                </w:p>
              </w:tc>
              <w:tc>
                <w:tcPr/>
                <w:p>
                  <w:pPr>
                    <w:pStyle w:val="Compact"/>
                    <w:jc w:val="center"/>
                  </w:pPr>
                  <w:r>
                    <w:t xml:space="preserve">0.0104</w:t>
                  </w:r>
                </w:p>
              </w:tc>
              <w:tc>
                <w:tcPr/>
                <w:p>
                  <w:pPr>
                    <w:pStyle w:val="Compact"/>
                    <w:jc w:val="center"/>
                  </w:pPr>
                  <w:r>
                    <w:t xml:space="preserve">0.0002</w:t>
                  </w:r>
                </w:p>
              </w:tc>
            </w:tr>
            <w:tr>
              <w:tc>
                <w:tcPr/>
                <w:p>
                  <w:pPr>
                    <w:pStyle w:val="Compact"/>
                    <w:jc w:val="center"/>
                  </w:pPr>
                  <w:r>
                    <w:t xml:space="preserve">CIg</w:t>
                  </w:r>
                </w:p>
              </w:tc>
              <w:tc>
                <w:tcPr/>
                <w:p>
                  <w:pPr>
                    <w:pStyle w:val="Compact"/>
                    <w:jc w:val="center"/>
                  </w:pPr>
                  <w:r>
                    <w:t xml:space="preserve">Training gain (% root)</w:t>
                  </w:r>
                </w:p>
              </w:tc>
              <w:tc>
                <w:tcPr/>
                <w:p>
                  <w:pPr>
                    <w:pStyle w:val="Compact"/>
                    <w:jc w:val="center"/>
                  </w:pPr>
                  <w:r>
                    <w:t xml:space="preserve">87.5995</w:t>
                  </w:r>
                </w:p>
              </w:tc>
              <w:tc>
                <w:tcPr/>
                <w:p>
                  <w:pPr>
                    <w:pStyle w:val="Compact"/>
                    <w:jc w:val="center"/>
                  </w:pPr>
                  <w:r>
                    <w:t xml:space="preserve">1.4760</w:t>
                  </w:r>
                </w:p>
              </w:tc>
            </w:tr>
            <w:tr>
              <w:tc>
                <w:tcPr/>
                <w:p>
                  <w:pPr>
                    <w:pStyle w:val="Compact"/>
                    <w:jc w:val="center"/>
                  </w:pPr>
                  <w:r>
                    <w:t xml:space="preserve">CIg</w:t>
                  </w:r>
                </w:p>
              </w:tc>
              <w:tc>
                <w:tcPr/>
                <w:p>
                  <w:pPr>
                    <w:pStyle w:val="Compact"/>
                    <w:jc w:val="center"/>
                  </w:pPr>
                  <w:r>
                    <w:t xml:space="preserve">Validation gain</w:t>
                  </w:r>
                </w:p>
              </w:tc>
              <w:tc>
                <w:tcPr/>
                <w:p>
                  <w:pPr>
                    <w:pStyle w:val="Compact"/>
                    <w:jc w:val="center"/>
                  </w:pPr>
                  <w:r>
                    <w:t xml:space="preserve">-0.0027</w:t>
                  </w:r>
                </w:p>
              </w:tc>
              <w:tc>
                <w:tcPr/>
                <w:p>
                  <w:pPr>
                    <w:pStyle w:val="Compact"/>
                    <w:jc w:val="center"/>
                  </w:pPr>
                  <w:r>
                    <w:t xml:space="preserve">0.0034</w:t>
                  </w:r>
                </w:p>
              </w:tc>
            </w:tr>
            <w:tr>
              <w:tc>
                <w:tcPr/>
                <w:p>
                  <w:pPr>
                    <w:pStyle w:val="Compact"/>
                    <w:jc w:val="center"/>
                  </w:pPr>
                  <w:r>
                    <w:t xml:space="preserve">CIg</w:t>
                  </w:r>
                </w:p>
              </w:tc>
              <w:tc>
                <w:tcPr/>
                <w:p>
                  <w:pPr>
                    <w:pStyle w:val="Compact"/>
                    <w:jc w:val="center"/>
                  </w:pPr>
                  <w:r>
                    <w:t xml:space="preserve">Validation gain (% root)</w:t>
                  </w:r>
                </w:p>
              </w:tc>
              <w:tc>
                <w:tcPr/>
                <w:p>
                  <w:pPr>
                    <w:pStyle w:val="Compact"/>
                    <w:jc w:val="center"/>
                  </w:pPr>
                  <w:r>
                    <w:t xml:space="preserve">-73.1067</w:t>
                  </w:r>
                </w:p>
              </w:tc>
              <w:tc>
                <w:tcPr/>
                <w:p>
                  <w:pPr>
                    <w:pStyle w:val="Compact"/>
                    <w:jc w:val="center"/>
                  </w:pPr>
                  <w:r>
                    <w:t xml:space="preserve">39.0032</w:t>
                  </w:r>
                </w:p>
              </w:tc>
            </w:tr>
            <w:tr>
              <w:tc>
                <w:tcPr/>
                <w:p>
                  <w:pPr>
                    <w:pStyle w:val="Compact"/>
                    <w:jc w:val="center"/>
                  </w:pPr>
                  <w:r>
                    <w:t xml:space="preserve">L</w:t>
                  </w:r>
                </w:p>
              </w:tc>
              <w:tc>
                <w:tcPr/>
                <w:p>
                  <w:pPr>
                    <w:pStyle w:val="Compact"/>
                    <w:jc w:val="center"/>
                  </w:pPr>
                  <w:r>
                    <w:t xml:space="preserve">Root impurity</w:t>
                  </w:r>
                </w:p>
              </w:tc>
              <w:tc>
                <w:tcPr/>
                <w:p>
                  <w:pPr>
                    <w:pStyle w:val="Compact"/>
                    <w:jc w:val="center"/>
                  </w:pPr>
                  <w:r>
                    <w:t xml:space="preserve">0.3128</w:t>
                  </w:r>
                </w:p>
              </w:tc>
              <w:tc>
                <w:tcPr/>
                <w:p>
                  <w:pPr>
                    <w:pStyle w:val="Compact"/>
                    <w:jc w:val="center"/>
                  </w:pPr>
                  <w:r>
                    <w:t xml:space="preserve">NA</w:t>
                  </w:r>
                </w:p>
              </w:tc>
            </w:tr>
            <w:tr>
              <w:tc>
                <w:tcPr/>
                <w:p>
                  <w:pPr>
                    <w:pStyle w:val="Compact"/>
                    <w:jc w:val="center"/>
                  </w:pPr>
                  <w:r>
                    <w:t xml:space="preserve">L</w:t>
                  </w:r>
                </w:p>
              </w:tc>
              <w:tc>
                <w:tcPr/>
                <w:p>
                  <w:pPr>
                    <w:pStyle w:val="Compact"/>
                    <w:jc w:val="center"/>
                  </w:pPr>
                  <w:r>
                    <w:t xml:space="preserve">Training gain</w:t>
                  </w:r>
                </w:p>
              </w:tc>
              <w:tc>
                <w:tcPr/>
                <w:p>
                  <w:pPr>
                    <w:pStyle w:val="Compact"/>
                    <w:jc w:val="center"/>
                  </w:pPr>
                  <w:r>
                    <w:t xml:space="preserve">0.1906</w:t>
                  </w:r>
                </w:p>
              </w:tc>
              <w:tc>
                <w:tcPr/>
                <w:p>
                  <w:pPr>
                    <w:pStyle w:val="Compact"/>
                    <w:jc w:val="center"/>
                  </w:pPr>
                  <w:r>
                    <w:t xml:space="preserve">0.0061</w:t>
                  </w:r>
                </w:p>
              </w:tc>
            </w:tr>
            <w:tr>
              <w:tc>
                <w:tcPr/>
                <w:p>
                  <w:pPr>
                    <w:pStyle w:val="Compact"/>
                    <w:jc w:val="center"/>
                  </w:pPr>
                  <w:r>
                    <w:t xml:space="preserve">L</w:t>
                  </w:r>
                </w:p>
              </w:tc>
              <w:tc>
                <w:tcPr/>
                <w:p>
                  <w:pPr>
                    <w:pStyle w:val="Compact"/>
                    <w:jc w:val="center"/>
                  </w:pPr>
                  <w:r>
                    <w:t xml:space="preserve">Training gain (% root)</w:t>
                  </w:r>
                </w:p>
              </w:tc>
              <w:tc>
                <w:tcPr/>
                <w:p>
                  <w:pPr>
                    <w:pStyle w:val="Compact"/>
                    <w:jc w:val="center"/>
                  </w:pPr>
                  <w:r>
                    <w:t xml:space="preserve">98.1536</w:t>
                  </w:r>
                </w:p>
              </w:tc>
              <w:tc>
                <w:tcPr/>
                <w:p>
                  <w:pPr>
                    <w:pStyle w:val="Compact"/>
                    <w:jc w:val="center"/>
                  </w:pPr>
                  <w:r>
                    <w:t xml:space="preserve">0.2271</w:t>
                  </w:r>
                </w:p>
              </w:tc>
            </w:tr>
            <w:tr>
              <w:tc>
                <w:tcPr/>
                <w:p>
                  <w:pPr>
                    <w:pStyle w:val="Compact"/>
                    <w:jc w:val="center"/>
                  </w:pPr>
                  <w:r>
                    <w:t xml:space="preserve">L</w:t>
                  </w:r>
                </w:p>
              </w:tc>
              <w:tc>
                <w:tcPr/>
                <w:p>
                  <w:pPr>
                    <w:pStyle w:val="Compact"/>
                    <w:jc w:val="center"/>
                  </w:pPr>
                  <w:r>
                    <w:t xml:space="preserve">Validation gain</w:t>
                  </w:r>
                </w:p>
              </w:tc>
              <w:tc>
                <w:tcPr/>
                <w:p>
                  <w:pPr>
                    <w:pStyle w:val="Compact"/>
                    <w:jc w:val="center"/>
                  </w:pPr>
                  <w:r>
                    <w:t xml:space="preserve">0.2861</w:t>
                  </w:r>
                </w:p>
              </w:tc>
              <w:tc>
                <w:tcPr/>
                <w:p>
                  <w:pPr>
                    <w:pStyle w:val="Compact"/>
                    <w:jc w:val="center"/>
                  </w:pPr>
                  <w:r>
                    <w:t xml:space="preserve">0.1077</w:t>
                  </w:r>
                </w:p>
              </w:tc>
            </w:tr>
            <w:tr>
              <w:tc>
                <w:tcPr/>
                <w:p>
                  <w:pPr>
                    <w:pStyle w:val="Compact"/>
                    <w:jc w:val="center"/>
                  </w:pPr>
                  <w:r>
                    <w:t xml:space="preserve">L</w:t>
                  </w:r>
                </w:p>
              </w:tc>
              <w:tc>
                <w:tcPr/>
                <w:p>
                  <w:pPr>
                    <w:pStyle w:val="Compact"/>
                    <w:jc w:val="center"/>
                  </w:pPr>
                  <w:r>
                    <w:t xml:space="preserve">Validation gain (% root)</w:t>
                  </w:r>
                </w:p>
              </w:tc>
              <w:tc>
                <w:tcPr/>
                <w:p>
                  <w:pPr>
                    <w:pStyle w:val="Compact"/>
                    <w:jc w:val="center"/>
                  </w:pPr>
                  <w:r>
                    <w:t xml:space="preserve">70.5254</w:t>
                  </w:r>
                </w:p>
              </w:tc>
              <w:tc>
                <w:tcPr/>
                <w:p>
                  <w:pPr>
                    <w:pStyle w:val="Compact"/>
                    <w:jc w:val="center"/>
                  </w:pPr>
                  <w:r>
                    <w:t xml:space="preserve">13.4254</w:t>
                  </w:r>
                </w:p>
              </w:tc>
            </w:tr>
          </w:tbl>
          <w:bookmarkEnd w:id="213"/>
          <w:p/>
        </w:tc>
      </w:tr>
    </w:tbl>
    <w:bookmarkEnd w:id="214"/>
    <w:bookmarkStart w:id="220" w:name="tree-selection-metrics"/>
    <w:p>
      <w:pPr>
        <w:pStyle w:val="Heading4"/>
      </w:pPr>
      <w:r>
        <w:t xml:space="preserve">Tree selection metrics</w:t>
      </w:r>
    </w:p>
    <w:tbl>
      <w:tblPr>
        <w:tblStyle w:val="Table"/>
        <w:tblW w:type="pct" w:w="5000"/>
        <w:tblLayout w:type="fixed"/>
        <w:tblLook w:firstRow="0" w:lastRow="0" w:firstColumn="0" w:lastColumn="0" w:noHBand="0" w:noVBand="0" w:val="0000"/>
      </w:tblPr>
      <w:tblGrid>
        <w:gridCol w:w="7920"/>
      </w:tblGrid>
      <w:tr>
        <w:tc>
          <w:tcPr/>
          <w:bookmarkStart w:id="215" w:name="tbl-appendix-tree-selection"/>
          <w:p>
            <w:pPr>
              <w:jc w:val="center"/>
            </w:pPr>
            <w:pPr>
              <w:jc w:val="left"/>
              <w:spacing w:before="200"/>
              <w:pStyle w:val="ImageCaption"/>
            </w:pPr>
            <w:r>
              <w:t xml:space="preserve">Table 8: Selection metrics for fitted concentration-index trees.</w:t>
            </w:r>
          </w:p>
          <w:p>
            <w:pPr>
              <w:pStyle w:val="Compact"/>
              <w:jc w:val="center"/>
            </w:pPr>
            <w:r>
              <w:t xml:space="preserve">Selection metrics for fitted concentration-index trees</w:t>
            </w:r>
          </w:p>
          <w:tbl>
            <w:tblPr>
              <w:tblStyle w:val="Table"/>
              <w:tblW w:type="pct" w:w="5000"/>
              <w:tblLayout w:type="fixed"/>
              <w:tblLook w:firstRow="1" w:lastRow="0" w:firstColumn="0" w:lastColumn="0" w:noHBand="0" w:noVBand="0" w:val="0020"/>
              <w:tblCaption w:val="Selection metrics for fitted concentration-index trees"/>
            </w:tblPr>
            <w:tblGrid>
              <w:gridCol w:w="784"/>
              <w:gridCol w:w="1141"/>
              <w:gridCol w:w="856"/>
              <w:gridCol w:w="1212"/>
              <w:gridCol w:w="1212"/>
              <w:gridCol w:w="1569"/>
              <w:gridCol w:w="1141"/>
            </w:tblGrid>
            <w:tr>
              <w:trPr>
                <w:tblHeader w:val="on"/>
              </w:trPr>
              <w:tc>
                <w:tcPr/>
                <w:p>
                  <w:pPr>
                    <w:pStyle w:val="Compact"/>
                    <w:jc w:val="center"/>
                  </w:pPr>
                  <w:r>
                    <w:t xml:space="preserve">Criterion</w:t>
                  </w:r>
                </w:p>
              </w:tc>
              <w:tc>
                <w:tcPr/>
                <w:p>
                  <w:pPr>
                    <w:pStyle w:val="Compact"/>
                    <w:jc w:val="center"/>
                  </w:pPr>
                  <w:r>
                    <w:t xml:space="preserve">Root objective</w:t>
                  </w:r>
                </w:p>
              </w:tc>
              <w:tc>
                <w:tcPr/>
                <w:p>
                  <w:pPr>
                    <w:pStyle w:val="Compact"/>
                    <w:jc w:val="center"/>
                  </w:pPr>
                  <w:r>
                    <w:t xml:space="preserve">Train gain</w:t>
                  </w:r>
                </w:p>
              </w:tc>
              <w:tc>
                <w:tcPr/>
                <w:p>
                  <w:pPr>
                    <w:pStyle w:val="Compact"/>
                    <w:jc w:val="center"/>
                  </w:pPr>
                  <w:r>
                    <w:t xml:space="preserve">Train gain/root</w:t>
                  </w:r>
                </w:p>
              </w:tc>
              <w:tc>
                <w:tcPr/>
                <w:p>
                  <w:pPr>
                    <w:pStyle w:val="Compact"/>
                    <w:jc w:val="center"/>
                  </w:pPr>
                  <w:r>
                    <w:t xml:space="preserve">Validation gain</w:t>
                  </w:r>
                </w:p>
              </w:tc>
              <w:tc>
                <w:tcPr/>
                <w:p>
                  <w:pPr>
                    <w:pStyle w:val="Compact"/>
                    <w:jc w:val="center"/>
                  </w:pPr>
                  <w:r>
                    <w:t xml:space="preserve">Validation gain/root</w:t>
                  </w:r>
                </w:p>
              </w:tc>
              <w:tc>
                <w:tcPr/>
                <w:p>
                  <w:pPr>
                    <w:pStyle w:val="Compact"/>
                    <w:jc w:val="center"/>
                  </w:pPr>
                  <w:r>
                    <w:t xml:space="preserve">Terminal nodes</w:t>
                  </w:r>
                </w:p>
              </w:tc>
            </w:tr>
            <w:tr>
              <w:tc>
                <w:tcPr/>
                <w:p>
                  <w:pPr>
                    <w:pStyle w:val="Compact"/>
                    <w:jc w:val="center"/>
                  </w:pPr>
                  <w:r>
                    <w:t xml:space="preserve">CI</w:t>
                  </w:r>
                </w:p>
              </w:tc>
              <w:tc>
                <w:tcPr/>
                <w:p>
                  <w:pPr>
                    <w:pStyle w:val="Compact"/>
                    <w:jc w:val="center"/>
                  </w:pPr>
                  <w:r>
                    <w:t xml:space="preserve">0.1191</w:t>
                  </w:r>
                </w:p>
              </w:tc>
              <w:tc>
                <w:tcPr/>
                <w:p>
                  <w:pPr>
                    <w:pStyle w:val="Compact"/>
                    <w:jc w:val="center"/>
                  </w:pPr>
                  <w:r>
                    <w:t xml:space="preserve">0.1003</w:t>
                  </w:r>
                </w:p>
              </w:tc>
              <w:tc>
                <w:tcPr/>
                <w:p>
                  <w:pPr>
                    <w:pStyle w:val="Compact"/>
                    <w:jc w:val="center"/>
                  </w:pPr>
                  <w:r>
                    <w:t xml:space="preserve">0.8707</w:t>
                  </w:r>
                </w:p>
              </w:tc>
              <w:tc>
                <w:tcPr/>
                <w:p>
                  <w:pPr>
                    <w:pStyle w:val="Compact"/>
                    <w:jc w:val="center"/>
                  </w:pPr>
                  <w:r>
                    <w:t xml:space="preserve">-0.0144</w:t>
                  </w:r>
                </w:p>
              </w:tc>
              <w:tc>
                <w:tcPr/>
                <w:p>
                  <w:pPr>
                    <w:pStyle w:val="Compact"/>
                    <w:jc w:val="center"/>
                  </w:pPr>
                  <w:r>
                    <w:t xml:space="preserve">-0.6824</w:t>
                  </w:r>
                </w:p>
              </w:tc>
              <w:tc>
                <w:tcPr/>
                <w:p>
                  <w:pPr>
                    <w:pStyle w:val="Compact"/>
                    <w:jc w:val="center"/>
                  </w:pPr>
                  <w:r>
                    <w:t xml:space="preserve">6.8</w:t>
                  </w:r>
                </w:p>
              </w:tc>
            </w:tr>
            <w:tr>
              <w:tc>
                <w:tcPr/>
                <w:p>
                  <w:pPr>
                    <w:pStyle w:val="Compact"/>
                    <w:jc w:val="center"/>
                  </w:pPr>
                  <w:r>
                    <w:t xml:space="preserve">CIc</w:t>
                  </w:r>
                </w:p>
              </w:tc>
              <w:tc>
                <w:tcPr/>
                <w:p>
                  <w:pPr>
                    <w:pStyle w:val="Compact"/>
                    <w:jc w:val="center"/>
                  </w:pPr>
                  <w:r>
                    <w:t xml:space="preserve">0.0483</w:t>
                  </w:r>
                </w:p>
              </w:tc>
              <w:tc>
                <w:tcPr/>
                <w:p>
                  <w:pPr>
                    <w:pStyle w:val="Compact"/>
                    <w:jc w:val="center"/>
                  </w:pPr>
                  <w:r>
                    <w:t xml:space="preserve">0.0417</w:t>
                  </w:r>
                </w:p>
              </w:tc>
              <w:tc>
                <w:tcPr/>
                <w:p>
                  <w:pPr>
                    <w:pStyle w:val="Compact"/>
                    <w:jc w:val="center"/>
                  </w:pPr>
                  <w:r>
                    <w:t xml:space="preserve">0.8760</w:t>
                  </w:r>
                </w:p>
              </w:tc>
              <w:tc>
                <w:tcPr/>
                <w:p>
                  <w:pPr>
                    <w:pStyle w:val="Compact"/>
                    <w:jc w:val="center"/>
                  </w:pPr>
                  <w:r>
                    <w:t xml:space="preserve">-0.0107</w:t>
                  </w:r>
                </w:p>
              </w:tc>
              <w:tc>
                <w:tcPr/>
                <w:p>
                  <w:pPr>
                    <w:pStyle w:val="Compact"/>
                    <w:jc w:val="center"/>
                  </w:pPr>
                  <w:r>
                    <w:t xml:space="preserve">-0.7311</w:t>
                  </w:r>
                </w:p>
              </w:tc>
              <w:tc>
                <w:tcPr/>
                <w:p>
                  <w:pPr>
                    <w:pStyle w:val="Compact"/>
                    <w:jc w:val="center"/>
                  </w:pPr>
                  <w:r>
                    <w:t xml:space="preserve">7.3</w:t>
                  </w:r>
                </w:p>
              </w:tc>
            </w:tr>
            <w:tr>
              <w:tc>
                <w:tcPr/>
                <w:p>
                  <w:pPr>
                    <w:pStyle w:val="Compact"/>
                    <w:jc w:val="center"/>
                  </w:pPr>
                  <w:r>
                    <w:t xml:space="preserve">CIg</w:t>
                  </w:r>
                </w:p>
              </w:tc>
              <w:tc>
                <w:tcPr/>
                <w:p>
                  <w:pPr>
                    <w:pStyle w:val="Compact"/>
                    <w:jc w:val="center"/>
                  </w:pPr>
                  <w:r>
                    <w:t xml:space="preserve">0.0121</w:t>
                  </w:r>
                </w:p>
              </w:tc>
              <w:tc>
                <w:tcPr/>
                <w:p>
                  <w:pPr>
                    <w:pStyle w:val="Compact"/>
                    <w:jc w:val="center"/>
                  </w:pPr>
                  <w:r>
                    <w:t xml:space="preserve">0.0104</w:t>
                  </w:r>
                </w:p>
              </w:tc>
              <w:tc>
                <w:tcPr/>
                <w:p>
                  <w:pPr>
                    <w:pStyle w:val="Compact"/>
                    <w:jc w:val="center"/>
                  </w:pPr>
                  <w:r>
                    <w:t xml:space="preserve">0.8760</w:t>
                  </w:r>
                </w:p>
              </w:tc>
              <w:tc>
                <w:tcPr/>
                <w:p>
                  <w:pPr>
                    <w:pStyle w:val="Compact"/>
                    <w:jc w:val="center"/>
                  </w:pPr>
                  <w:r>
                    <w:t xml:space="preserve">-0.0027</w:t>
                  </w:r>
                </w:p>
              </w:tc>
              <w:tc>
                <w:tcPr/>
                <w:p>
                  <w:pPr>
                    <w:pStyle w:val="Compact"/>
                    <w:jc w:val="center"/>
                  </w:pPr>
                  <w:r>
                    <w:t xml:space="preserve">-0.7311</w:t>
                  </w:r>
                </w:p>
              </w:tc>
              <w:tc>
                <w:tcPr/>
                <w:p>
                  <w:pPr>
                    <w:pStyle w:val="Compact"/>
                    <w:jc w:val="center"/>
                  </w:pPr>
                  <w:r>
                    <w:t xml:space="preserve">7.3</w:t>
                  </w:r>
                </w:p>
              </w:tc>
            </w:tr>
            <w:tr>
              <w:tc>
                <w:tcPr/>
                <w:p>
                  <w:pPr>
                    <w:pStyle w:val="Compact"/>
                    <w:jc w:val="center"/>
                  </w:pPr>
                  <w:r>
                    <w:t xml:space="preserve">L</w:t>
                  </w:r>
                </w:p>
              </w:tc>
              <w:tc>
                <w:tcPr/>
                <w:p>
                  <w:pPr>
                    <w:pStyle w:val="Compact"/>
                    <w:jc w:val="center"/>
                  </w:pPr>
                  <w:r>
                    <w:t xml:space="preserve">0.3128</w:t>
                  </w:r>
                </w:p>
              </w:tc>
              <w:tc>
                <w:tcPr/>
                <w:p>
                  <w:pPr>
                    <w:pStyle w:val="Compact"/>
                    <w:jc w:val="center"/>
                  </w:pPr>
                  <w:r>
                    <w:t xml:space="preserve">0.1906</w:t>
                  </w:r>
                </w:p>
              </w:tc>
              <w:tc>
                <w:tcPr/>
                <w:p>
                  <w:pPr>
                    <w:pStyle w:val="Compact"/>
                    <w:jc w:val="center"/>
                  </w:pPr>
                  <w:r>
                    <w:t xml:space="preserve">0.9815</w:t>
                  </w:r>
                </w:p>
              </w:tc>
              <w:tc>
                <w:tcPr/>
                <w:p>
                  <w:pPr>
                    <w:pStyle w:val="Compact"/>
                    <w:jc w:val="center"/>
                  </w:pPr>
                  <w:r>
                    <w:t xml:space="preserve">0.2861</w:t>
                  </w:r>
                </w:p>
              </w:tc>
              <w:tc>
                <w:tcPr/>
                <w:p>
                  <w:pPr>
                    <w:pStyle w:val="Compact"/>
                    <w:jc w:val="center"/>
                  </w:pPr>
                  <w:r>
                    <w:t xml:space="preserve">0.7053</w:t>
                  </w:r>
                </w:p>
              </w:tc>
              <w:tc>
                <w:tcPr/>
                <w:p>
                  <w:pPr>
                    <w:pStyle w:val="Compact"/>
                    <w:jc w:val="center"/>
                  </w:pPr>
                  <w:r>
                    <w:t xml:space="preserve">6.8</w:t>
                  </w:r>
                </w:p>
              </w:tc>
            </w:tr>
          </w:tbl>
          <w:bookmarkEnd w:id="215"/>
          <w:p/>
        </w:tc>
      </w:tr>
    </w:tbl>
    <w:tbl>
      <w:tblPr>
        <w:tblStyle w:val="Table"/>
        <w:tblW w:type="pct" w:w="5000"/>
        <w:tblLayout w:type="fixed"/>
        <w:tblLook w:firstRow="0" w:lastRow="0" w:firstColumn="0" w:lastColumn="0" w:noHBand="0" w:noVBand="0" w:val="0000"/>
      </w:tblPr>
      <w:tblGrid>
        <w:gridCol w:w="7920"/>
      </w:tblGrid>
      <w:tr>
        <w:tc>
          <w:tcPr/>
          <w:bookmarkStart w:id="219" w:name="fig-appendix-tree-variable-importance"/>
          <w:p>
            <w:pPr>
              <w:pStyle w:val="Compact"/>
              <w:jc w:val="center"/>
            </w:pPr>
            <w:r>
              <w:drawing>
                <wp:inline>
                  <wp:extent cx="5334000" cy="4000500"/>
                  <wp:effectExtent b="0" l="0" r="0" t="0"/>
                  <wp:docPr descr="" title="" id="217" name="Picture"/>
                  <a:graphic>
                    <a:graphicData uri="http://schemas.openxmlformats.org/drawingml/2006/picture">
                      <pic:pic>
                        <pic:nvPicPr>
                          <pic:cNvPr descr="MSE_Thesis_Decomposition_of_CI_Trees_MM_files/figure-docx/fig-appendix-tree-variable-importance-1.pdf" id="218" name="Picture"/>
                          <pic:cNvPicPr>
                            <a:picLocks noChangeArrowheads="1" noChangeAspect="1"/>
                          </pic:cNvPicPr>
                        </pic:nvPicPr>
                        <pic:blipFill>
                          <a:blip r:embed="rId216"/>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Top tree variables by concentration-index criterion.</w:t>
            </w:r>
          </w:p>
          <w:bookmarkEnd w:id="219"/>
        </w:tc>
      </w:tr>
    </w:tbl>
    <w:bookmarkEnd w:id="220"/>
    <w:bookmarkEnd w:id="221"/>
    <w:bookmarkStart w:id="230" w:name="X5e3a14cdca8cd9a2af6b63f377ead2cc8f6815b"/>
    <w:p>
      <w:pPr>
        <w:pStyle w:val="Heading3"/>
      </w:pPr>
      <w:r>
        <w:t xml:space="preserve">Additional Concentration-Index Tree Plots</w:t>
      </w:r>
    </w:p>
    <w:tbl>
      <w:tblPr>
        <w:tblStyle w:val="Table"/>
        <w:tblW w:type="pct" w:w="5000"/>
        <w:tblLayout w:type="fixed"/>
        <w:tblLook w:firstRow="0" w:lastRow="0" w:firstColumn="0" w:lastColumn="0" w:noHBand="0" w:noVBand="0" w:val="0000"/>
      </w:tblPr>
      <w:tblGrid>
        <w:gridCol w:w="7920"/>
      </w:tblGrid>
      <w:tr>
        <w:tc>
          <w:tcPr/>
          <w:bookmarkStart w:id="225" w:name="fig-appendix-ci-tree-cig"/>
          <w:p>
            <w:pPr>
              <w:pStyle w:val="Compact"/>
              <w:jc w:val="center"/>
            </w:pPr>
            <w:r>
              <w:drawing>
                <wp:inline>
                  <wp:extent cx="5334000" cy="2963333"/>
                  <wp:effectExtent b="0" l="0" r="0" t="0"/>
                  <wp:docPr descr="" title="" id="223" name="Picture"/>
                  <a:graphic>
                    <a:graphicData uri="http://schemas.openxmlformats.org/drawingml/2006/picture">
                      <pic:pic>
                        <pic:nvPicPr>
                          <pic:cNvPr descr="MSE_Thesis_Decomposition_of_CI_Trees_MM_files/figure-docx/fig-appendix-ci-tree-cig-1.pdf" id="224" name="Picture"/>
                          <pic:cNvPicPr>
                            <a:picLocks noChangeArrowheads="1" noChangeAspect="1"/>
                          </pic:cNvPicPr>
                        </pic:nvPicPr>
                        <pic:blipFill>
                          <a:blip r:embed="rId222"/>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Concentration-index tree fitted with the CIg criterion.</w:t>
            </w:r>
          </w:p>
          <w:bookmarkEnd w:id="225"/>
        </w:tc>
      </w:tr>
    </w:tbl>
    <w:tbl>
      <w:tblPr>
        <w:tblStyle w:val="Table"/>
        <w:tblW w:type="pct" w:w="5000"/>
        <w:tblLayout w:type="fixed"/>
        <w:tblLook w:firstRow="0" w:lastRow="0" w:firstColumn="0" w:lastColumn="0" w:noHBand="0" w:noVBand="0" w:val="0000"/>
      </w:tblPr>
      <w:tblGrid>
        <w:gridCol w:w="7920"/>
      </w:tblGrid>
      <w:tr>
        <w:tc>
          <w:tcPr/>
          <w:bookmarkStart w:id="229" w:name="fig-appendix-ci-tree-ci"/>
          <w:p>
            <w:pPr>
              <w:pStyle w:val="Compact"/>
              <w:jc w:val="center"/>
            </w:pPr>
            <w:r>
              <w:drawing>
                <wp:inline>
                  <wp:extent cx="5334000" cy="2963333"/>
                  <wp:effectExtent b="0" l="0" r="0" t="0"/>
                  <wp:docPr descr="" title="" id="227" name="Picture"/>
                  <a:graphic>
                    <a:graphicData uri="http://schemas.openxmlformats.org/drawingml/2006/picture">
                      <pic:pic>
                        <pic:nvPicPr>
                          <pic:cNvPr descr="MSE_Thesis_Decomposition_of_CI_Trees_MM_files/figure-docx/fig-appendix-ci-tree-ci-1.pdf" id="228" name="Picture"/>
                          <pic:cNvPicPr>
                            <a:picLocks noChangeArrowheads="1" noChangeAspect="1"/>
                          </pic:cNvPicPr>
                        </pic:nvPicPr>
                        <pic:blipFill>
                          <a:blip r:embed="rId226"/>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Concentration-index tree fitted with the CI criterion.</w:t>
            </w:r>
          </w:p>
          <w:bookmarkEnd w:id="229"/>
        </w:tc>
      </w:tr>
    </w:tbl>
    <w:bookmarkEnd w:id="230"/>
    <w:bookmarkStart w:id="235" w:name="Xb30d3992e15fbf177aa517b8089193849a355b6"/>
    <w:p>
      <w:pPr>
        <w:pStyle w:val="Heading3"/>
      </w:pPr>
      <w:r>
        <w:t xml:space="preserve">Appendix R4: Rpart Comparison Tree Details</w:t>
      </w:r>
    </w:p>
    <w:tbl>
      <w:tblPr>
        <w:tblStyle w:val="Table"/>
        <w:tblW w:type="pct" w:w="5000"/>
        <w:tblLayout w:type="fixed"/>
        <w:tblLook w:firstRow="0" w:lastRow="0" w:firstColumn="0" w:lastColumn="0" w:noHBand="0" w:noVBand="0" w:val="0000"/>
      </w:tblPr>
      <w:tblGrid>
        <w:gridCol w:w="7920"/>
      </w:tblGrid>
      <w:tr>
        <w:tc>
          <w:tcPr/>
          <w:bookmarkStart w:id="234" w:name="fig-appendix-lecturer-rpart-simple"/>
          <w:p>
            <w:pPr>
              <w:pStyle w:val="Compact"/>
              <w:jc w:val="center"/>
            </w:pPr>
            <w:r>
              <w:drawing>
                <wp:inline>
                  <wp:extent cx="5334000" cy="3048000"/>
                  <wp:effectExtent b="0" l="0" r="0" t="0"/>
                  <wp:docPr descr="" title="" id="232" name="Picture"/>
                  <a:graphic>
                    <a:graphicData uri="http://schemas.openxmlformats.org/drawingml/2006/picture">
                      <pic:pic>
                        <pic:nvPicPr>
                          <pic:cNvPr descr="MSE_Thesis_Decomposition_of_CI_Trees_MM_files/figure-docx/fig-appendix-lecturer-rpart-simple-1.pdf" id="233" name="Picture"/>
                          <pic:cNvPicPr>
                            <a:picLocks noChangeArrowheads="1" noChangeAspect="1"/>
                          </pic:cNvPicPr>
                        </pic:nvPicPr>
                        <pic:blipFill>
                          <a:blip r:embed="rId231"/>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Lecturer rpart comparison tree using absolute CI impurity.</w:t>
            </w:r>
          </w:p>
          <w:bookmarkEnd w:id="234"/>
        </w:tc>
      </w:tr>
    </w:tbl>
    <w:bookmarkEnd w:id="235"/>
    <w:bookmarkStart w:id="268" w:name="X2b460e2210f6f21b836bd4ecef227d59560d020"/>
    <w:p>
      <w:pPr>
        <w:pStyle w:val="Heading3"/>
      </w:pPr>
      <w:r>
        <w:t xml:space="preserve">Appendix 5: Concentration-Index Forest Details</w:t>
      </w:r>
    </w:p>
    <w:bookmarkStart w:id="237" w:name="forest-tuning-and-selection-details"/>
    <w:p>
      <w:pPr>
        <w:pStyle w:val="Heading4"/>
      </w:pPr>
      <w:r>
        <w:t xml:space="preserve">Forest tuning and selection details</w:t>
      </w:r>
    </w:p>
    <w:tbl>
      <w:tblPr>
        <w:tblStyle w:val="Table"/>
        <w:tblW w:type="pct" w:w="5000"/>
        <w:tblLayout w:type="fixed"/>
        <w:tblLook w:firstRow="0" w:lastRow="0" w:firstColumn="0" w:lastColumn="0" w:noHBand="0" w:noVBand="0" w:val="0000"/>
      </w:tblPr>
      <w:tblGrid>
        <w:gridCol w:w="7920"/>
      </w:tblGrid>
      <w:tr>
        <w:tc>
          <w:tcPr/>
          <w:bookmarkStart w:id="236" w:name="tbl-appendix-forest-best-controls"/>
          <w:p>
            <w:pPr>
              <w:jc w:val="center"/>
            </w:pPr>
            <w:pPr>
              <w:jc w:val="left"/>
              <w:spacing w:before="200"/>
              <w:pStyle w:val="ImageCaption"/>
            </w:pPr>
            <w:r>
              <w:t xml:space="preserve">Table 9: Best forest hyperparameters selected by validation gain within each impurity criterion.</w:t>
            </w:r>
          </w:p>
          <w:p>
            <w:pPr>
              <w:pStyle w:val="Compact"/>
              <w:jc w:val="center"/>
            </w:pPr>
            <w:r>
              <w:t xml:space="preserve">Best forest hyperparameters selected by validation gain within each impurity criterion</w:t>
            </w:r>
          </w:p>
          <w:tbl>
            <w:tblPr>
              <w:tblStyle w:val="Table"/>
              <w:tblW w:type="pct" w:w="5000"/>
              <w:tblLayout w:type="fixed"/>
              <w:tblLook w:firstRow="1" w:lastRow="0" w:firstColumn="0" w:lastColumn="0" w:noHBand="0" w:noVBand="0" w:val="0020"/>
              <w:tblCaption w:val="Best forest hyperparameters selected by validation gain within each impurity criterion"/>
            </w:tblPr>
            <w:tblGrid>
              <w:gridCol w:w="540"/>
              <w:gridCol w:w="630"/>
              <w:gridCol w:w="540"/>
              <w:gridCol w:w="900"/>
              <w:gridCol w:w="990"/>
              <w:gridCol w:w="810"/>
              <w:gridCol w:w="900"/>
              <w:gridCol w:w="900"/>
              <w:gridCol w:w="1710"/>
            </w:tblGrid>
            <w:tr>
              <w:trPr>
                <w:tblHeader w:val="on"/>
              </w:trPr>
              <w:tc>
                <w:tcPr/>
                <w:p>
                  <w:pPr>
                    <w:pStyle w:val="Compact"/>
                    <w:jc w:val="center"/>
                  </w:pPr>
                  <w:r>
                    <w:t xml:space="preserve">type</w:t>
                  </w:r>
                </w:p>
              </w:tc>
              <w:tc>
                <w:tcPr/>
                <w:p>
                  <w:pPr>
                    <w:pStyle w:val="Compact"/>
                    <w:jc w:val="center"/>
                  </w:pPr>
                  <w:r>
                    <w:t xml:space="preserve">ntree</w:t>
                  </w:r>
                </w:p>
              </w:tc>
              <w:tc>
                <w:tcPr/>
                <w:p>
                  <w:pPr>
                    <w:pStyle w:val="Compact"/>
                    <w:jc w:val="center"/>
                  </w:pPr>
                  <w:r>
                    <w:t xml:space="preserve">mtry</w:t>
                  </w:r>
                </w:p>
              </w:tc>
              <w:tc>
                <w:tcPr/>
                <w:p>
                  <w:pPr>
                    <w:pStyle w:val="Compact"/>
                    <w:jc w:val="center"/>
                  </w:pPr>
                  <w:r>
                    <w:t xml:space="preserve">minsplit</w:t>
                  </w:r>
                </w:p>
              </w:tc>
              <w:tc>
                <w:tcPr/>
                <w:p>
                  <w:pPr>
                    <w:pStyle w:val="Compact"/>
                    <w:jc w:val="center"/>
                  </w:pPr>
                  <w:r>
                    <w:t xml:space="preserve">minbucket</w:t>
                  </w:r>
                </w:p>
              </w:tc>
              <w:tc>
                <w:tcPr/>
                <w:p>
                  <w:pPr>
                    <w:pStyle w:val="Compact"/>
                    <w:jc w:val="center"/>
                  </w:pPr>
                  <w:r>
                    <w:t xml:space="preserve">minprob</w:t>
                  </w:r>
                </w:p>
              </w:tc>
              <w:tc>
                <w:tcPr/>
                <w:p>
                  <w:pPr>
                    <w:pStyle w:val="Compact"/>
                    <w:jc w:val="center"/>
                  </w:pPr>
                  <w:r>
                    <w:t xml:space="preserve">maxdepth</w:t>
                  </w:r>
                </w:p>
              </w:tc>
              <w:tc>
                <w:tcPr/>
                <w:p>
                  <w:pPr>
                    <w:pStyle w:val="Compact"/>
                    <w:jc w:val="center"/>
                  </w:pPr>
                  <w:r>
                    <w:t xml:space="preserve">min_gain</w:t>
                  </w:r>
                </w:p>
              </w:tc>
              <w:tc>
                <w:tcPr/>
                <w:p>
                  <w:pPr>
                    <w:pStyle w:val="Compact"/>
                    <w:jc w:val="center"/>
                  </w:pPr>
                  <w:r>
                    <w:t xml:space="preserve">min_relative_gain</w:t>
                  </w:r>
                </w:p>
              </w:tc>
            </w:tr>
            <w:tr>
              <w:tc>
                <w:tcPr/>
                <w:p>
                  <w:pPr>
                    <w:pStyle w:val="Compact"/>
                    <w:jc w:val="center"/>
                  </w:pPr>
                  <w:r>
                    <w:t xml:space="preserve">CI</w:t>
                  </w:r>
                </w:p>
              </w:tc>
              <w:tc>
                <w:tcPr/>
                <w:p>
                  <w:pPr>
                    <w:pStyle w:val="Compact"/>
                    <w:jc w:val="center"/>
                  </w:pPr>
                  <w:r>
                    <w:t xml:space="preserve">50</w:t>
                  </w:r>
                </w:p>
              </w:tc>
              <w:tc>
                <w:tcPr/>
                <w:p>
                  <w:pPr>
                    <w:pStyle w:val="Compact"/>
                    <w:jc w:val="center"/>
                  </w:pPr>
                  <w:r>
                    <w:t xml:space="preserve">15</w:t>
                  </w:r>
                </w:p>
              </w:tc>
              <w:tc>
                <w:tcPr/>
                <w:p>
                  <w:pPr>
                    <w:pStyle w:val="Compact"/>
                    <w:jc w:val="center"/>
                  </w:pPr>
                  <w:r>
                    <w:t xml:space="preserve">500</w:t>
                  </w:r>
                </w:p>
              </w:tc>
              <w:tc>
                <w:tcPr/>
                <w:p>
                  <w:pPr>
                    <w:pStyle w:val="Compact"/>
                    <w:jc w:val="center"/>
                  </w:pPr>
                  <w:r>
                    <w:t xml:space="preserve">100</w:t>
                  </w:r>
                </w:p>
              </w:tc>
              <w:tc>
                <w:tcPr/>
                <w:p>
                  <w:pPr>
                    <w:pStyle w:val="Compact"/>
                    <w:jc w:val="center"/>
                  </w:pPr>
                  <w:r>
                    <w:t xml:space="preserve">0.01</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0.35</w:t>
                  </w:r>
                </w:p>
              </w:tc>
            </w:tr>
            <w:tr>
              <w:tc>
                <w:tcPr/>
                <w:p>
                  <w:pPr>
                    <w:pStyle w:val="Compact"/>
                    <w:jc w:val="center"/>
                  </w:pPr>
                  <w:r>
                    <w:t xml:space="preserve">CIc</w:t>
                  </w:r>
                </w:p>
              </w:tc>
              <w:tc>
                <w:tcPr/>
                <w:p>
                  <w:pPr>
                    <w:pStyle w:val="Compact"/>
                    <w:jc w:val="center"/>
                  </w:pPr>
                  <w:r>
                    <w:t xml:space="preserve">50</w:t>
                  </w:r>
                </w:p>
              </w:tc>
              <w:tc>
                <w:tcPr/>
                <w:p>
                  <w:pPr>
                    <w:pStyle w:val="Compact"/>
                    <w:jc w:val="center"/>
                  </w:pPr>
                  <w:r>
                    <w:t xml:space="preserve">15</w:t>
                  </w:r>
                </w:p>
              </w:tc>
              <w:tc>
                <w:tcPr/>
                <w:p>
                  <w:pPr>
                    <w:pStyle w:val="Compact"/>
                    <w:jc w:val="center"/>
                  </w:pPr>
                  <w:r>
                    <w:t xml:space="preserve">500</w:t>
                  </w:r>
                </w:p>
              </w:tc>
              <w:tc>
                <w:tcPr/>
                <w:p>
                  <w:pPr>
                    <w:pStyle w:val="Compact"/>
                    <w:jc w:val="center"/>
                  </w:pPr>
                  <w:r>
                    <w:t xml:space="preserve">100</w:t>
                  </w:r>
                </w:p>
              </w:tc>
              <w:tc>
                <w:tcPr/>
                <w:p>
                  <w:pPr>
                    <w:pStyle w:val="Compact"/>
                    <w:jc w:val="center"/>
                  </w:pPr>
                  <w:r>
                    <w:t xml:space="preserve">0.01</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0.35</w:t>
                  </w:r>
                </w:p>
              </w:tc>
            </w:tr>
            <w:tr>
              <w:tc>
                <w:tcPr/>
                <w:p>
                  <w:pPr>
                    <w:pStyle w:val="Compact"/>
                    <w:jc w:val="center"/>
                  </w:pPr>
                  <w:r>
                    <w:t xml:space="preserve">CIg</w:t>
                  </w:r>
                </w:p>
              </w:tc>
              <w:tc>
                <w:tcPr/>
                <w:p>
                  <w:pPr>
                    <w:pStyle w:val="Compact"/>
                    <w:jc w:val="center"/>
                  </w:pPr>
                  <w:r>
                    <w:t xml:space="preserve">50</w:t>
                  </w:r>
                </w:p>
              </w:tc>
              <w:tc>
                <w:tcPr/>
                <w:p>
                  <w:pPr>
                    <w:pStyle w:val="Compact"/>
                    <w:jc w:val="center"/>
                  </w:pPr>
                  <w:r>
                    <w:t xml:space="preserve">15</w:t>
                  </w:r>
                </w:p>
              </w:tc>
              <w:tc>
                <w:tcPr/>
                <w:p>
                  <w:pPr>
                    <w:pStyle w:val="Compact"/>
                    <w:jc w:val="center"/>
                  </w:pPr>
                  <w:r>
                    <w:t xml:space="preserve">500</w:t>
                  </w:r>
                </w:p>
              </w:tc>
              <w:tc>
                <w:tcPr/>
                <w:p>
                  <w:pPr>
                    <w:pStyle w:val="Compact"/>
                    <w:jc w:val="center"/>
                  </w:pPr>
                  <w:r>
                    <w:t xml:space="preserve">100</w:t>
                  </w:r>
                </w:p>
              </w:tc>
              <w:tc>
                <w:tcPr/>
                <w:p>
                  <w:pPr>
                    <w:pStyle w:val="Compact"/>
                    <w:jc w:val="center"/>
                  </w:pPr>
                  <w:r>
                    <w:t xml:space="preserve">0.01</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0.35</w:t>
                  </w:r>
                </w:p>
              </w:tc>
            </w:tr>
            <w:tr>
              <w:tc>
                <w:tcPr/>
                <w:p>
                  <w:pPr>
                    <w:pStyle w:val="Compact"/>
                    <w:jc w:val="center"/>
                  </w:pPr>
                  <w:r>
                    <w:t xml:space="preserve">L</w:t>
                  </w:r>
                </w:p>
              </w:tc>
              <w:tc>
                <w:tcPr/>
                <w:p>
                  <w:pPr>
                    <w:pStyle w:val="Compact"/>
                    <w:jc w:val="center"/>
                  </w:pPr>
                  <w:r>
                    <w:t xml:space="preserve">50</w:t>
                  </w:r>
                </w:p>
              </w:tc>
              <w:tc>
                <w:tcPr/>
                <w:p>
                  <w:pPr>
                    <w:pStyle w:val="Compact"/>
                    <w:jc w:val="center"/>
                  </w:pPr>
                  <w:r>
                    <w:t xml:space="preserve">15</w:t>
                  </w:r>
                </w:p>
              </w:tc>
              <w:tc>
                <w:tcPr/>
                <w:p>
                  <w:pPr>
                    <w:pStyle w:val="Compact"/>
                    <w:jc w:val="center"/>
                  </w:pPr>
                  <w:r>
                    <w:t xml:space="preserve">500</w:t>
                  </w:r>
                </w:p>
              </w:tc>
              <w:tc>
                <w:tcPr/>
                <w:p>
                  <w:pPr>
                    <w:pStyle w:val="Compact"/>
                    <w:jc w:val="center"/>
                  </w:pPr>
                  <w:r>
                    <w:t xml:space="preserve">100</w:t>
                  </w:r>
                </w:p>
              </w:tc>
              <w:tc>
                <w:tcPr/>
                <w:p>
                  <w:pPr>
                    <w:pStyle w:val="Compact"/>
                    <w:jc w:val="center"/>
                  </w:pPr>
                  <w:r>
                    <w:t xml:space="preserve">0.01</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0.35</w:t>
                  </w:r>
                </w:p>
              </w:tc>
            </w:tr>
          </w:tbl>
          <w:bookmarkEnd w:id="236"/>
          <w:p/>
        </w:tc>
      </w:tr>
    </w:tbl>
    <w:bookmarkEnd w:id="237"/>
    <w:bookmarkStart w:id="239" w:name="forest-fit-and-selection-summaries"/>
    <w:p>
      <w:pPr>
        <w:pStyle w:val="Heading4"/>
      </w:pPr>
      <w:r>
        <w:t xml:space="preserve">Forest fit and selection summaries</w:t>
      </w:r>
    </w:p>
    <w:tbl>
      <w:tblPr>
        <w:tblStyle w:val="Table"/>
        <w:tblW w:type="pct" w:w="5000"/>
        <w:tblLayout w:type="fixed"/>
        <w:tblLook w:firstRow="0" w:lastRow="0" w:firstColumn="0" w:lastColumn="0" w:noHBand="0" w:noVBand="0" w:val="0000"/>
      </w:tblPr>
      <w:tblGrid>
        <w:gridCol w:w="7920"/>
      </w:tblGrid>
      <w:tr>
        <w:tc>
          <w:tcPr/>
          <w:bookmarkStart w:id="238" w:name="Xbc8578b1a3ced7dc02b008838aaa5458e5149e7"/>
          <w:p>
            <w:pPr>
              <w:jc w:val="center"/>
            </w:pPr>
            <w:pPr>
              <w:jc w:val="left"/>
              <w:spacing w:before="200"/>
              <w:pStyle w:val="ImageCaption"/>
            </w:pPr>
            <w:r>
              <w:t xml:space="preserve">Table 10: Forest summary for the selected settings.</w:t>
            </w:r>
          </w:p>
          <w:p>
            <w:pPr>
              <w:pStyle w:val="Compact"/>
              <w:jc w:val="center"/>
            </w:pPr>
            <w:r>
              <w:t xml:space="preserve">Forest summary for the selected settings</w:t>
            </w:r>
          </w:p>
          <w:tbl>
            <w:tblPr>
              <w:tblStyle w:val="Table"/>
              <w:tblW w:type="auto" w:w="0"/>
              <w:tblLook w:firstRow="1" w:lastRow="0" w:firstColumn="0" w:lastColumn="0" w:noHBand="0" w:noVBand="0" w:val="0020"/>
              <w:tblCaption w:val="Forest summary for the selected settings"/>
            </w:tblPr>
            <w:tblGrid>
              <w:gridCol w:w="1980"/>
              <w:gridCol w:w="1980"/>
              <w:gridCol w:w="1980"/>
              <w:gridCol w:w="1980"/>
            </w:tblGrid>
            <w:tr>
              <w:trPr>
                <w:tblHeader w:val="on"/>
              </w:trPr>
              <w:tc>
                <w:tcPr/>
                <w:p>
                  <w:pPr>
                    <w:pStyle w:val="Compact"/>
                    <w:jc w:val="center"/>
                  </w:pPr>
                  <w:r>
                    <w:t xml:space="preserve">criterion</w:t>
                  </w:r>
                </w:p>
              </w:tc>
              <w:tc>
                <w:tcPr/>
                <w:p>
                  <w:pPr>
                    <w:pStyle w:val="Compact"/>
                    <w:jc w:val="center"/>
                  </w:pPr>
                  <w:r>
                    <w:t xml:space="preserve">metric</w:t>
                  </w:r>
                </w:p>
              </w:tc>
              <w:tc>
                <w:tcPr/>
                <w:p>
                  <w:pPr>
                    <w:pStyle w:val="Compact"/>
                    <w:jc w:val="center"/>
                  </w:pPr>
                  <w:r>
                    <w:t xml:space="preserve">estimate</w:t>
                  </w:r>
                </w:p>
              </w:tc>
              <w:tc>
                <w:tcPr/>
                <w:p>
                  <w:pPr>
                    <w:pStyle w:val="Compact"/>
                    <w:jc w:val="center"/>
                  </w:pPr>
                  <w:r>
                    <w:t xml:space="preserve">std_error</w:t>
                  </w:r>
                </w:p>
              </w:tc>
            </w:tr>
            <w:tr>
              <w:tc>
                <w:tcPr/>
                <w:p>
                  <w:pPr>
                    <w:pStyle w:val="Compact"/>
                    <w:jc w:val="center"/>
                  </w:pPr>
                  <w:r>
                    <w:t xml:space="preserve">CI</w:t>
                  </w:r>
                </w:p>
              </w:tc>
              <w:tc>
                <w:tcPr/>
                <w:p>
                  <w:pPr>
                    <w:pStyle w:val="Compact"/>
                    <w:jc w:val="center"/>
                  </w:pPr>
                  <w:r>
                    <w:t xml:space="preserve">Root impurity</w:t>
                  </w:r>
                </w:p>
              </w:tc>
              <w:tc>
                <w:tcPr/>
                <w:p>
                  <w:pPr>
                    <w:pStyle w:val="Compact"/>
                    <w:jc w:val="center"/>
                  </w:pPr>
                  <w:r>
                    <w:t xml:space="preserve">0.1191</w:t>
                  </w:r>
                </w:p>
              </w:tc>
              <w:tc>
                <w:tcPr/>
                <w:p>
                  <w:pPr>
                    <w:pStyle w:val="Compact"/>
                    <w:jc w:val="center"/>
                  </w:pPr>
                  <w:r>
                    <w:t xml:space="preserve">NA</w:t>
                  </w:r>
                </w:p>
              </w:tc>
            </w:tr>
            <w:tr>
              <w:tc>
                <w:tcPr/>
                <w:p>
                  <w:pPr>
                    <w:pStyle w:val="Compact"/>
                    <w:jc w:val="center"/>
                  </w:pPr>
                  <w:r>
                    <w:t xml:space="preserve">CI</w:t>
                  </w:r>
                </w:p>
              </w:tc>
              <w:tc>
                <w:tcPr/>
                <w:p>
                  <w:pPr>
                    <w:pStyle w:val="Compact"/>
                    <w:jc w:val="center"/>
                  </w:pPr>
                  <w:r>
                    <w:t xml:space="preserve">Training gain</w:t>
                  </w:r>
                </w:p>
              </w:tc>
              <w:tc>
                <w:tcPr/>
                <w:p>
                  <w:pPr>
                    <w:pStyle w:val="Compact"/>
                    <w:jc w:val="center"/>
                  </w:pPr>
                  <w:r>
                    <w:t xml:space="preserve">0.0337</w:t>
                  </w:r>
                </w:p>
              </w:tc>
              <w:tc>
                <w:tcPr/>
                <w:p>
                  <w:pPr>
                    <w:pStyle w:val="Compact"/>
                    <w:jc w:val="center"/>
                  </w:pPr>
                  <w:r>
                    <w:t xml:space="preserve">0.0029</w:t>
                  </w:r>
                </w:p>
              </w:tc>
            </w:tr>
            <w:tr>
              <w:tc>
                <w:tcPr/>
                <w:p>
                  <w:pPr>
                    <w:pStyle w:val="Compact"/>
                    <w:jc w:val="center"/>
                  </w:pPr>
                  <w:r>
                    <w:t xml:space="preserve">CI</w:t>
                  </w:r>
                </w:p>
              </w:tc>
              <w:tc>
                <w:tcPr/>
                <w:p>
                  <w:pPr>
                    <w:pStyle w:val="Compact"/>
                    <w:jc w:val="center"/>
                  </w:pPr>
                  <w:r>
                    <w:t xml:space="preserve">Training gain (% root)</w:t>
                  </w:r>
                </w:p>
              </w:tc>
              <w:tc>
                <w:tcPr/>
                <w:p>
                  <w:pPr>
                    <w:pStyle w:val="Compact"/>
                    <w:jc w:val="center"/>
                  </w:pPr>
                  <w:r>
                    <w:t xml:space="preserve">29.5891</w:t>
                  </w:r>
                </w:p>
              </w:tc>
              <w:tc>
                <w:tcPr/>
                <w:p>
                  <w:pPr>
                    <w:pStyle w:val="Compact"/>
                    <w:jc w:val="center"/>
                  </w:pPr>
                  <w:r>
                    <w:t xml:space="preserve">2.8849</w:t>
                  </w:r>
                </w:p>
              </w:tc>
            </w:tr>
            <w:tr>
              <w:tc>
                <w:tcPr/>
                <w:p>
                  <w:pPr>
                    <w:pStyle w:val="Compact"/>
                    <w:jc w:val="center"/>
                  </w:pPr>
                  <w:r>
                    <w:t xml:space="preserve">CI</w:t>
                  </w:r>
                </w:p>
              </w:tc>
              <w:tc>
                <w:tcPr/>
                <w:p>
                  <w:pPr>
                    <w:pStyle w:val="Compact"/>
                    <w:jc w:val="center"/>
                  </w:pPr>
                  <w:r>
                    <w:t xml:space="preserve">Validation gain</w:t>
                  </w:r>
                </w:p>
              </w:tc>
              <w:tc>
                <w:tcPr/>
                <w:p>
                  <w:pPr>
                    <w:pStyle w:val="Compact"/>
                    <w:jc w:val="center"/>
                  </w:pPr>
                  <w:r>
                    <w:t xml:space="preserve">-0.0075</w:t>
                  </w:r>
                </w:p>
              </w:tc>
              <w:tc>
                <w:tcPr/>
                <w:p>
                  <w:pPr>
                    <w:pStyle w:val="Compact"/>
                    <w:jc w:val="center"/>
                  </w:pPr>
                  <w:r>
                    <w:t xml:space="preserve">0.0107</w:t>
                  </w:r>
                </w:p>
              </w:tc>
            </w:tr>
            <w:tr>
              <w:tc>
                <w:tcPr/>
                <w:p>
                  <w:pPr>
                    <w:pStyle w:val="Compact"/>
                    <w:jc w:val="center"/>
                  </w:pPr>
                  <w:r>
                    <w:t xml:space="preserve">CI</w:t>
                  </w:r>
                </w:p>
              </w:tc>
              <w:tc>
                <w:tcPr/>
                <w:p>
                  <w:pPr>
                    <w:pStyle w:val="Compact"/>
                    <w:jc w:val="center"/>
                  </w:pPr>
                  <w:r>
                    <w:t xml:space="preserve">Validation gain (% root)</w:t>
                  </w:r>
                </w:p>
              </w:tc>
              <w:tc>
                <w:tcPr/>
                <w:p>
                  <w:pPr>
                    <w:pStyle w:val="Compact"/>
                    <w:jc w:val="center"/>
                  </w:pPr>
                  <w:r>
                    <w:t xml:space="preserve">-24.9836</w:t>
                  </w:r>
                </w:p>
              </w:tc>
              <w:tc>
                <w:tcPr/>
                <w:p>
                  <w:pPr>
                    <w:pStyle w:val="Compact"/>
                    <w:jc w:val="center"/>
                  </w:pPr>
                  <w:r>
                    <w:t xml:space="preserve">13.0698</w:t>
                  </w:r>
                </w:p>
              </w:tc>
            </w:tr>
            <w:tr>
              <w:tc>
                <w:tcPr/>
                <w:p>
                  <w:pPr>
                    <w:pStyle w:val="Compact"/>
                    <w:jc w:val="center"/>
                  </w:pPr>
                  <w:r>
                    <w:t xml:space="preserve">CIc</w:t>
                  </w:r>
                </w:p>
              </w:tc>
              <w:tc>
                <w:tcPr/>
                <w:p>
                  <w:pPr>
                    <w:pStyle w:val="Compact"/>
                    <w:jc w:val="center"/>
                  </w:pPr>
                  <w:r>
                    <w:t xml:space="preserve">Root impurity</w:t>
                  </w:r>
                </w:p>
              </w:tc>
              <w:tc>
                <w:tcPr/>
                <w:p>
                  <w:pPr>
                    <w:pStyle w:val="Compact"/>
                    <w:jc w:val="center"/>
                  </w:pPr>
                  <w:r>
                    <w:t xml:space="preserve">0.0483</w:t>
                  </w:r>
                </w:p>
              </w:tc>
              <w:tc>
                <w:tcPr/>
                <w:p>
                  <w:pPr>
                    <w:pStyle w:val="Compact"/>
                    <w:jc w:val="center"/>
                  </w:pPr>
                  <w:r>
                    <w:t xml:space="preserve">NA</w:t>
                  </w:r>
                </w:p>
              </w:tc>
            </w:tr>
            <w:tr>
              <w:tc>
                <w:tcPr/>
                <w:p>
                  <w:pPr>
                    <w:pStyle w:val="Compact"/>
                    <w:jc w:val="center"/>
                  </w:pPr>
                  <w:r>
                    <w:t xml:space="preserve">CIc</w:t>
                  </w:r>
                </w:p>
              </w:tc>
              <w:tc>
                <w:tcPr/>
                <w:p>
                  <w:pPr>
                    <w:pStyle w:val="Compact"/>
                    <w:jc w:val="center"/>
                  </w:pPr>
                  <w:r>
                    <w:t xml:space="preserve">Training gain</w:t>
                  </w:r>
                </w:p>
              </w:tc>
              <w:tc>
                <w:tcPr/>
                <w:p>
                  <w:pPr>
                    <w:pStyle w:val="Compact"/>
                    <w:jc w:val="center"/>
                  </w:pPr>
                  <w:r>
                    <w:t xml:space="preserve">0.0182</w:t>
                  </w:r>
                </w:p>
              </w:tc>
              <w:tc>
                <w:tcPr/>
                <w:p>
                  <w:pPr>
                    <w:pStyle w:val="Compact"/>
                    <w:jc w:val="center"/>
                  </w:pPr>
                  <w:r>
                    <w:t xml:space="preserve">0.0012</w:t>
                  </w:r>
                </w:p>
              </w:tc>
            </w:tr>
            <w:tr>
              <w:tc>
                <w:tcPr/>
                <w:p>
                  <w:pPr>
                    <w:pStyle w:val="Compact"/>
                    <w:jc w:val="center"/>
                  </w:pPr>
                  <w:r>
                    <w:t xml:space="preserve">CIc</w:t>
                  </w:r>
                </w:p>
              </w:tc>
              <w:tc>
                <w:tcPr/>
                <w:p>
                  <w:pPr>
                    <w:pStyle w:val="Compact"/>
                    <w:jc w:val="center"/>
                  </w:pPr>
                  <w:r>
                    <w:t xml:space="preserve">Training gain (% root)</w:t>
                  </w:r>
                </w:p>
              </w:tc>
              <w:tc>
                <w:tcPr/>
                <w:p>
                  <w:pPr>
                    <w:pStyle w:val="Compact"/>
                    <w:jc w:val="center"/>
                  </w:pPr>
                  <w:r>
                    <w:t xml:space="preserve">38.5250</w:t>
                  </w:r>
                </w:p>
              </w:tc>
              <w:tc>
                <w:tcPr/>
                <w:p>
                  <w:pPr>
                    <w:pStyle w:val="Compact"/>
                    <w:jc w:val="center"/>
                  </w:pPr>
                  <w:r>
                    <w:t xml:space="preserve">2.8199</w:t>
                  </w:r>
                </w:p>
              </w:tc>
            </w:tr>
            <w:tr>
              <w:tc>
                <w:tcPr/>
                <w:p>
                  <w:pPr>
                    <w:pStyle w:val="Compact"/>
                    <w:jc w:val="center"/>
                  </w:pPr>
                  <w:r>
                    <w:t xml:space="preserve">CIc</w:t>
                  </w:r>
                </w:p>
              </w:tc>
              <w:tc>
                <w:tcPr/>
                <w:p>
                  <w:pPr>
                    <w:pStyle w:val="Compact"/>
                    <w:jc w:val="center"/>
                  </w:pPr>
                  <w:r>
                    <w:t xml:space="preserve">Validation gain</w:t>
                  </w:r>
                </w:p>
              </w:tc>
              <w:tc>
                <w:tcPr/>
                <w:p>
                  <w:pPr>
                    <w:pStyle w:val="Compact"/>
                    <w:jc w:val="center"/>
                  </w:pPr>
                  <w:r>
                    <w:t xml:space="preserve">-0.0025</w:t>
                  </w:r>
                </w:p>
              </w:tc>
              <w:tc>
                <w:tcPr/>
                <w:p>
                  <w:pPr>
                    <w:pStyle w:val="Compact"/>
                    <w:jc w:val="center"/>
                  </w:pPr>
                  <w:r>
                    <w:t xml:space="preserve">0.0054</w:t>
                  </w:r>
                </w:p>
              </w:tc>
            </w:tr>
            <w:tr>
              <w:tc>
                <w:tcPr/>
                <w:p>
                  <w:pPr>
                    <w:pStyle w:val="Compact"/>
                    <w:jc w:val="center"/>
                  </w:pPr>
                  <w:r>
                    <w:t xml:space="preserve">CIc</w:t>
                  </w:r>
                </w:p>
              </w:tc>
              <w:tc>
                <w:tcPr/>
                <w:p>
                  <w:pPr>
                    <w:pStyle w:val="Compact"/>
                    <w:jc w:val="center"/>
                  </w:pPr>
                  <w:r>
                    <w:t xml:space="preserve">Validation gain (% root)</w:t>
                  </w:r>
                </w:p>
              </w:tc>
              <w:tc>
                <w:tcPr/>
                <w:p>
                  <w:pPr>
                    <w:pStyle w:val="Compact"/>
                    <w:jc w:val="center"/>
                  </w:pPr>
                  <w:r>
                    <w:t xml:space="preserve">-28.0573</w:t>
                  </w:r>
                </w:p>
              </w:tc>
              <w:tc>
                <w:tcPr/>
                <w:p>
                  <w:pPr>
                    <w:pStyle w:val="Compact"/>
                    <w:jc w:val="center"/>
                  </w:pPr>
                  <w:r>
                    <w:t xml:space="preserve">16.5269</w:t>
                  </w:r>
                </w:p>
              </w:tc>
            </w:tr>
            <w:tr>
              <w:tc>
                <w:tcPr/>
                <w:p>
                  <w:pPr>
                    <w:pStyle w:val="Compact"/>
                    <w:jc w:val="center"/>
                  </w:pPr>
                  <w:r>
                    <w:t xml:space="preserve">CIg</w:t>
                  </w:r>
                </w:p>
              </w:tc>
              <w:tc>
                <w:tcPr/>
                <w:p>
                  <w:pPr>
                    <w:pStyle w:val="Compact"/>
                    <w:jc w:val="center"/>
                  </w:pPr>
                  <w:r>
                    <w:t xml:space="preserve">Root impurity</w:t>
                  </w:r>
                </w:p>
              </w:tc>
              <w:tc>
                <w:tcPr/>
                <w:p>
                  <w:pPr>
                    <w:pStyle w:val="Compact"/>
                    <w:jc w:val="center"/>
                  </w:pPr>
                  <w:r>
                    <w:t xml:space="preserve">0.0121</w:t>
                  </w:r>
                </w:p>
              </w:tc>
              <w:tc>
                <w:tcPr/>
                <w:p>
                  <w:pPr>
                    <w:pStyle w:val="Compact"/>
                    <w:jc w:val="center"/>
                  </w:pPr>
                  <w:r>
                    <w:t xml:space="preserve">NA</w:t>
                  </w:r>
                </w:p>
              </w:tc>
            </w:tr>
            <w:tr>
              <w:tc>
                <w:tcPr/>
                <w:p>
                  <w:pPr>
                    <w:pStyle w:val="Compact"/>
                    <w:jc w:val="center"/>
                  </w:pPr>
                  <w:r>
                    <w:t xml:space="preserve">CIg</w:t>
                  </w:r>
                </w:p>
              </w:tc>
              <w:tc>
                <w:tcPr/>
                <w:p>
                  <w:pPr>
                    <w:pStyle w:val="Compact"/>
                    <w:jc w:val="center"/>
                  </w:pPr>
                  <w:r>
                    <w:t xml:space="preserve">Training gain</w:t>
                  </w:r>
                </w:p>
              </w:tc>
              <w:tc>
                <w:tcPr/>
                <w:p>
                  <w:pPr>
                    <w:pStyle w:val="Compact"/>
                    <w:jc w:val="center"/>
                  </w:pPr>
                  <w:r>
                    <w:t xml:space="preserve">0.0046</w:t>
                  </w:r>
                </w:p>
              </w:tc>
              <w:tc>
                <w:tcPr/>
                <w:p>
                  <w:pPr>
                    <w:pStyle w:val="Compact"/>
                    <w:jc w:val="center"/>
                  </w:pPr>
                  <w:r>
                    <w:t xml:space="preserve">0.0003</w:t>
                  </w:r>
                </w:p>
              </w:tc>
            </w:tr>
            <w:tr>
              <w:tc>
                <w:tcPr/>
                <w:p>
                  <w:pPr>
                    <w:pStyle w:val="Compact"/>
                    <w:jc w:val="center"/>
                  </w:pPr>
                  <w:r>
                    <w:t xml:space="preserve">CIg</w:t>
                  </w:r>
                </w:p>
              </w:tc>
              <w:tc>
                <w:tcPr/>
                <w:p>
                  <w:pPr>
                    <w:pStyle w:val="Compact"/>
                    <w:jc w:val="center"/>
                  </w:pPr>
                  <w:r>
                    <w:t xml:space="preserve">Training gain (% root)</w:t>
                  </w:r>
                </w:p>
              </w:tc>
              <w:tc>
                <w:tcPr/>
                <w:p>
                  <w:pPr>
                    <w:pStyle w:val="Compact"/>
                    <w:jc w:val="center"/>
                  </w:pPr>
                  <w:r>
                    <w:t xml:space="preserve">38.6693</w:t>
                  </w:r>
                </w:p>
              </w:tc>
              <w:tc>
                <w:tcPr/>
                <w:p>
                  <w:pPr>
                    <w:pStyle w:val="Compact"/>
                    <w:jc w:val="center"/>
                  </w:pPr>
                  <w:r>
                    <w:t xml:space="preserve">2.1250</w:t>
                  </w:r>
                </w:p>
              </w:tc>
            </w:tr>
            <w:tr>
              <w:tc>
                <w:tcPr/>
                <w:p>
                  <w:pPr>
                    <w:pStyle w:val="Compact"/>
                    <w:jc w:val="center"/>
                  </w:pPr>
                  <w:r>
                    <w:t xml:space="preserve">CIg</w:t>
                  </w:r>
                </w:p>
              </w:tc>
              <w:tc>
                <w:tcPr/>
                <w:p>
                  <w:pPr>
                    <w:pStyle w:val="Compact"/>
                    <w:jc w:val="center"/>
                  </w:pPr>
                  <w:r>
                    <w:t xml:space="preserve">Validation gain</w:t>
                  </w:r>
                </w:p>
              </w:tc>
              <w:tc>
                <w:tcPr/>
                <w:p>
                  <w:pPr>
                    <w:pStyle w:val="Compact"/>
                    <w:jc w:val="center"/>
                  </w:pPr>
                  <w:r>
                    <w:t xml:space="preserve">-0.0009</w:t>
                  </w:r>
                </w:p>
              </w:tc>
              <w:tc>
                <w:tcPr/>
                <w:p>
                  <w:pPr>
                    <w:pStyle w:val="Compact"/>
                    <w:jc w:val="center"/>
                  </w:pPr>
                  <w:r>
                    <w:t xml:space="preserve">0.0015</w:t>
                  </w:r>
                </w:p>
              </w:tc>
            </w:tr>
            <w:tr>
              <w:tc>
                <w:tcPr/>
                <w:p>
                  <w:pPr>
                    <w:pStyle w:val="Compact"/>
                    <w:jc w:val="center"/>
                  </w:pPr>
                  <w:r>
                    <w:t xml:space="preserve">CIg</w:t>
                  </w:r>
                </w:p>
              </w:tc>
              <w:tc>
                <w:tcPr/>
                <w:p>
                  <w:pPr>
                    <w:pStyle w:val="Compact"/>
                    <w:jc w:val="center"/>
                  </w:pPr>
                  <w:r>
                    <w:t xml:space="preserve">Validation gain (% root)</w:t>
                  </w:r>
                </w:p>
              </w:tc>
              <w:tc>
                <w:tcPr/>
                <w:p>
                  <w:pPr>
                    <w:pStyle w:val="Compact"/>
                    <w:jc w:val="center"/>
                  </w:pPr>
                  <w:r>
                    <w:t xml:space="preserve">-34.6842</w:t>
                  </w:r>
                </w:p>
              </w:tc>
              <w:tc>
                <w:tcPr/>
                <w:p>
                  <w:pPr>
                    <w:pStyle w:val="Compact"/>
                    <w:jc w:val="center"/>
                  </w:pPr>
                  <w:r>
                    <w:t xml:space="preserve">19.5160</w:t>
                  </w:r>
                </w:p>
              </w:tc>
            </w:tr>
            <w:tr>
              <w:tc>
                <w:tcPr/>
                <w:p>
                  <w:pPr>
                    <w:pStyle w:val="Compact"/>
                    <w:jc w:val="center"/>
                  </w:pPr>
                  <w:r>
                    <w:t xml:space="preserve">L</w:t>
                  </w:r>
                </w:p>
              </w:tc>
              <w:tc>
                <w:tcPr/>
                <w:p>
                  <w:pPr>
                    <w:pStyle w:val="Compact"/>
                    <w:jc w:val="center"/>
                  </w:pPr>
                  <w:r>
                    <w:t xml:space="preserve">Root impurity</w:t>
                  </w:r>
                </w:p>
              </w:tc>
              <w:tc>
                <w:tcPr/>
                <w:p>
                  <w:pPr>
                    <w:pStyle w:val="Compact"/>
                    <w:jc w:val="center"/>
                  </w:pPr>
                  <w:r>
                    <w:t xml:space="preserve">0.3128</w:t>
                  </w:r>
                </w:p>
              </w:tc>
              <w:tc>
                <w:tcPr/>
                <w:p>
                  <w:pPr>
                    <w:pStyle w:val="Compact"/>
                    <w:jc w:val="center"/>
                  </w:pPr>
                  <w:r>
                    <w:t xml:space="preserve">NA</w:t>
                  </w:r>
                </w:p>
              </w:tc>
            </w:tr>
            <w:tr>
              <w:tc>
                <w:tcPr/>
                <w:p>
                  <w:pPr>
                    <w:pStyle w:val="Compact"/>
                    <w:jc w:val="center"/>
                  </w:pPr>
                  <w:r>
                    <w:t xml:space="preserve">L</w:t>
                  </w:r>
                </w:p>
              </w:tc>
              <w:tc>
                <w:tcPr/>
                <w:p>
                  <w:pPr>
                    <w:pStyle w:val="Compact"/>
                    <w:jc w:val="center"/>
                  </w:pPr>
                  <w:r>
                    <w:t xml:space="preserve">Training gain</w:t>
                  </w:r>
                </w:p>
              </w:tc>
              <w:tc>
                <w:tcPr/>
                <w:p>
                  <w:pPr>
                    <w:pStyle w:val="Compact"/>
                    <w:jc w:val="center"/>
                  </w:pPr>
                  <w:r>
                    <w:t xml:space="preserve">0.1847</w:t>
                  </w:r>
                </w:p>
              </w:tc>
              <w:tc>
                <w:tcPr/>
                <w:p>
                  <w:pPr>
                    <w:pStyle w:val="Compact"/>
                    <w:jc w:val="center"/>
                  </w:pPr>
                  <w:r>
                    <w:t xml:space="preserve">0.0062</w:t>
                  </w:r>
                </w:p>
              </w:tc>
            </w:tr>
            <w:tr>
              <w:tc>
                <w:tcPr/>
                <w:p>
                  <w:pPr>
                    <w:pStyle w:val="Compact"/>
                    <w:jc w:val="center"/>
                  </w:pPr>
                  <w:r>
                    <w:t xml:space="preserve">L</w:t>
                  </w:r>
                </w:p>
              </w:tc>
              <w:tc>
                <w:tcPr/>
                <w:p>
                  <w:pPr>
                    <w:pStyle w:val="Compact"/>
                    <w:jc w:val="center"/>
                  </w:pPr>
                  <w:r>
                    <w:t xml:space="preserve">Training gain (% root)</w:t>
                  </w:r>
                </w:p>
              </w:tc>
              <w:tc>
                <w:tcPr/>
                <w:p>
                  <w:pPr>
                    <w:pStyle w:val="Compact"/>
                    <w:jc w:val="center"/>
                  </w:pPr>
                  <w:r>
                    <w:t xml:space="preserve">95.0817</w:t>
                  </w:r>
                </w:p>
              </w:tc>
              <w:tc>
                <w:tcPr/>
                <w:p>
                  <w:pPr>
                    <w:pStyle w:val="Compact"/>
                    <w:jc w:val="center"/>
                  </w:pPr>
                  <w:r>
                    <w:t xml:space="preserve">0.1536</w:t>
                  </w:r>
                </w:p>
              </w:tc>
            </w:tr>
            <w:tr>
              <w:tc>
                <w:tcPr/>
                <w:p>
                  <w:pPr>
                    <w:pStyle w:val="Compact"/>
                    <w:jc w:val="center"/>
                  </w:pPr>
                  <w:r>
                    <w:t xml:space="preserve">L</w:t>
                  </w:r>
                </w:p>
              </w:tc>
              <w:tc>
                <w:tcPr/>
                <w:p>
                  <w:pPr>
                    <w:pStyle w:val="Compact"/>
                    <w:jc w:val="center"/>
                  </w:pPr>
                  <w:r>
                    <w:t xml:space="preserve">Validation gain</w:t>
                  </w:r>
                </w:p>
              </w:tc>
              <w:tc>
                <w:tcPr/>
                <w:p>
                  <w:pPr>
                    <w:pStyle w:val="Compact"/>
                    <w:jc w:val="center"/>
                  </w:pPr>
                  <w:r>
                    <w:t xml:space="preserve">0.2831</w:t>
                  </w:r>
                </w:p>
              </w:tc>
              <w:tc>
                <w:tcPr/>
                <w:p>
                  <w:pPr>
                    <w:pStyle w:val="Compact"/>
                    <w:jc w:val="center"/>
                  </w:pPr>
                  <w:r>
                    <w:t xml:space="preserve">0.1064</w:t>
                  </w:r>
                </w:p>
              </w:tc>
            </w:tr>
            <w:tr>
              <w:tc>
                <w:tcPr/>
                <w:p>
                  <w:pPr>
                    <w:pStyle w:val="Compact"/>
                    <w:jc w:val="center"/>
                  </w:pPr>
                  <w:r>
                    <w:t xml:space="preserve">L</w:t>
                  </w:r>
                </w:p>
              </w:tc>
              <w:tc>
                <w:tcPr/>
                <w:p>
                  <w:pPr>
                    <w:pStyle w:val="Compact"/>
                    <w:jc w:val="center"/>
                  </w:pPr>
                  <w:r>
                    <w:t xml:space="preserve">Validation gain (% root)</w:t>
                  </w:r>
                </w:p>
              </w:tc>
              <w:tc>
                <w:tcPr/>
                <w:p>
                  <w:pPr>
                    <w:pStyle w:val="Compact"/>
                    <w:jc w:val="center"/>
                  </w:pPr>
                  <w:r>
                    <w:t xml:space="preserve">69.6578</w:t>
                  </w:r>
                </w:p>
              </w:tc>
              <w:tc>
                <w:tcPr/>
                <w:p>
                  <w:pPr>
                    <w:pStyle w:val="Compact"/>
                    <w:jc w:val="center"/>
                  </w:pPr>
                  <w:r>
                    <w:t xml:space="preserve">13.3968</w:t>
                  </w:r>
                </w:p>
              </w:tc>
            </w:tr>
          </w:tbl>
          <w:bookmarkEnd w:id="238"/>
          <w:p/>
        </w:tc>
      </w:tr>
    </w:tbl>
    <w:bookmarkEnd w:id="239"/>
    <w:bookmarkStart w:id="241" w:name="forest-selection-metrics"/>
    <w:p>
      <w:pPr>
        <w:pStyle w:val="Heading4"/>
      </w:pPr>
      <w:r>
        <w:t xml:space="preserve">Forest selection metrics</w:t>
      </w:r>
    </w:p>
    <w:tbl>
      <w:tblPr>
        <w:tblStyle w:val="Table"/>
        <w:tblW w:type="pct" w:w="5000"/>
        <w:tblLayout w:type="fixed"/>
        <w:tblLook w:firstRow="0" w:lastRow="0" w:firstColumn="0" w:lastColumn="0" w:noHBand="0" w:noVBand="0" w:val="0000"/>
      </w:tblPr>
      <w:tblGrid>
        <w:gridCol w:w="7920"/>
      </w:tblGrid>
      <w:tr>
        <w:tc>
          <w:tcPr/>
          <w:bookmarkStart w:id="240" w:name="tbl-appendix-forest-selection"/>
          <w:p>
            <w:pPr>
              <w:jc w:val="center"/>
            </w:pPr>
            <w:pPr>
              <w:jc w:val="left"/>
              <w:spacing w:before="200"/>
              <w:pStyle w:val="ImageCaption"/>
            </w:pPr>
            <w:r>
              <w:t xml:space="preserve">Table 11: Selection metrics for fitted concentration-index forests.</w:t>
            </w:r>
          </w:p>
          <w:p>
            <w:pPr>
              <w:pStyle w:val="Compact"/>
              <w:jc w:val="center"/>
            </w:pPr>
            <w:r>
              <w:t xml:space="preserve">Selection metrics for fitted concentration-index forests</w:t>
            </w:r>
          </w:p>
          <w:tbl>
            <w:tblPr>
              <w:tblStyle w:val="Table"/>
              <w:tblW w:type="pct" w:w="5000"/>
              <w:tblLayout w:type="fixed"/>
              <w:tblLook w:firstRow="1" w:lastRow="0" w:firstColumn="0" w:lastColumn="0" w:noHBand="0" w:noVBand="0" w:val="0020"/>
              <w:tblCaption w:val="Selection metrics for fitted concentration-index forests"/>
            </w:tblPr>
            <w:tblGrid>
              <w:gridCol w:w="751"/>
              <w:gridCol w:w="1092"/>
              <w:gridCol w:w="819"/>
              <w:gridCol w:w="1160"/>
              <w:gridCol w:w="1160"/>
              <w:gridCol w:w="1502"/>
              <w:gridCol w:w="1433"/>
            </w:tblGrid>
            <w:tr>
              <w:trPr>
                <w:tblHeader w:val="on"/>
              </w:trPr>
              <w:tc>
                <w:tcPr/>
                <w:p>
                  <w:pPr>
                    <w:pStyle w:val="Compact"/>
                    <w:jc w:val="center"/>
                  </w:pPr>
                  <w:r>
                    <w:t xml:space="preserve">Criterion</w:t>
                  </w:r>
                </w:p>
              </w:tc>
              <w:tc>
                <w:tcPr/>
                <w:p>
                  <w:pPr>
                    <w:pStyle w:val="Compact"/>
                    <w:jc w:val="center"/>
                  </w:pPr>
                  <w:r>
                    <w:t xml:space="preserve">Root objective</w:t>
                  </w:r>
                </w:p>
              </w:tc>
              <w:tc>
                <w:tcPr/>
                <w:p>
                  <w:pPr>
                    <w:pStyle w:val="Compact"/>
                    <w:jc w:val="center"/>
                  </w:pPr>
                  <w:r>
                    <w:t xml:space="preserve">Train gain</w:t>
                  </w:r>
                </w:p>
              </w:tc>
              <w:tc>
                <w:tcPr/>
                <w:p>
                  <w:pPr>
                    <w:pStyle w:val="Compact"/>
                    <w:jc w:val="center"/>
                  </w:pPr>
                  <w:r>
                    <w:t xml:space="preserve">Train gain/root</w:t>
                  </w:r>
                </w:p>
              </w:tc>
              <w:tc>
                <w:tcPr/>
                <w:p>
                  <w:pPr>
                    <w:pStyle w:val="Compact"/>
                    <w:jc w:val="center"/>
                  </w:pPr>
                  <w:r>
                    <w:t xml:space="preserve">Validation gain</w:t>
                  </w:r>
                </w:p>
              </w:tc>
              <w:tc>
                <w:tcPr/>
                <w:p>
                  <w:pPr>
                    <w:pStyle w:val="Compact"/>
                    <w:jc w:val="center"/>
                  </w:pPr>
                  <w:r>
                    <w:t xml:space="preserve">Validation gain/root</w:t>
                  </w:r>
                </w:p>
              </w:tc>
              <w:tc>
                <w:tcPr/>
                <w:p>
                  <w:pPr>
                    <w:pStyle w:val="Compact"/>
                    <w:jc w:val="center"/>
                  </w:pPr>
                  <w:r>
                    <w:t xml:space="preserve">Mean terminal nodes</w:t>
                  </w:r>
                </w:p>
              </w:tc>
            </w:tr>
            <w:tr>
              <w:tc>
                <w:tcPr/>
                <w:p>
                  <w:pPr>
                    <w:pStyle w:val="Compact"/>
                    <w:jc w:val="center"/>
                  </w:pPr>
                  <w:r>
                    <w:t xml:space="preserve">CI</w:t>
                  </w:r>
                </w:p>
              </w:tc>
              <w:tc>
                <w:tcPr/>
                <w:p>
                  <w:pPr>
                    <w:pStyle w:val="Compact"/>
                    <w:jc w:val="center"/>
                  </w:pPr>
                  <w:r>
                    <w:t xml:space="preserve">0.1191</w:t>
                  </w:r>
                </w:p>
              </w:tc>
              <w:tc>
                <w:tcPr/>
                <w:p>
                  <w:pPr>
                    <w:pStyle w:val="Compact"/>
                    <w:jc w:val="center"/>
                  </w:pPr>
                  <w:r>
                    <w:t xml:space="preserve">0.0337</w:t>
                  </w:r>
                </w:p>
              </w:tc>
              <w:tc>
                <w:tcPr/>
                <w:p>
                  <w:pPr>
                    <w:pStyle w:val="Compact"/>
                    <w:jc w:val="center"/>
                  </w:pPr>
                  <w:r>
                    <w:t xml:space="preserve">0.2959</w:t>
                  </w:r>
                </w:p>
              </w:tc>
              <w:tc>
                <w:tcPr/>
                <w:p>
                  <w:pPr>
                    <w:pStyle w:val="Compact"/>
                    <w:jc w:val="center"/>
                  </w:pPr>
                  <w:r>
                    <w:t xml:space="preserve">-0.0075</w:t>
                  </w:r>
                </w:p>
              </w:tc>
              <w:tc>
                <w:tcPr/>
                <w:p>
                  <w:pPr>
                    <w:pStyle w:val="Compact"/>
                    <w:jc w:val="center"/>
                  </w:pPr>
                  <w:r>
                    <w:t xml:space="preserve">-0.2498</w:t>
                  </w:r>
                </w:p>
              </w:tc>
              <w:tc>
                <w:tcPr/>
                <w:p>
                  <w:pPr>
                    <w:pStyle w:val="Compact"/>
                    <w:jc w:val="center"/>
                  </w:pPr>
                  <w:r>
                    <w:t xml:space="preserve">2.442</w:t>
                  </w:r>
                </w:p>
              </w:tc>
            </w:tr>
            <w:tr>
              <w:tc>
                <w:tcPr/>
                <w:p>
                  <w:pPr>
                    <w:pStyle w:val="Compact"/>
                    <w:jc w:val="center"/>
                  </w:pPr>
                  <w:r>
                    <w:t xml:space="preserve">CIc</w:t>
                  </w:r>
                </w:p>
              </w:tc>
              <w:tc>
                <w:tcPr/>
                <w:p>
                  <w:pPr>
                    <w:pStyle w:val="Compact"/>
                    <w:jc w:val="center"/>
                  </w:pPr>
                  <w:r>
                    <w:t xml:space="preserve">0.0483</w:t>
                  </w:r>
                </w:p>
              </w:tc>
              <w:tc>
                <w:tcPr/>
                <w:p>
                  <w:pPr>
                    <w:pStyle w:val="Compact"/>
                    <w:jc w:val="center"/>
                  </w:pPr>
                  <w:r>
                    <w:t xml:space="preserve">0.0182</w:t>
                  </w:r>
                </w:p>
              </w:tc>
              <w:tc>
                <w:tcPr/>
                <w:p>
                  <w:pPr>
                    <w:pStyle w:val="Compact"/>
                    <w:jc w:val="center"/>
                  </w:pPr>
                  <w:r>
                    <w:t xml:space="preserve">0.3852</w:t>
                  </w:r>
                </w:p>
              </w:tc>
              <w:tc>
                <w:tcPr/>
                <w:p>
                  <w:pPr>
                    <w:pStyle w:val="Compact"/>
                    <w:jc w:val="center"/>
                  </w:pPr>
                  <w:r>
                    <w:t xml:space="preserve">-0.0025</w:t>
                  </w:r>
                </w:p>
              </w:tc>
              <w:tc>
                <w:tcPr/>
                <w:p>
                  <w:pPr>
                    <w:pStyle w:val="Compact"/>
                    <w:jc w:val="center"/>
                  </w:pPr>
                  <w:r>
                    <w:t xml:space="preserve">-0.2806</w:t>
                  </w:r>
                </w:p>
              </w:tc>
              <w:tc>
                <w:tcPr/>
                <w:p>
                  <w:pPr>
                    <w:pStyle w:val="Compact"/>
                    <w:jc w:val="center"/>
                  </w:pPr>
                  <w:r>
                    <w:t xml:space="preserve">2.864</w:t>
                  </w:r>
                </w:p>
              </w:tc>
            </w:tr>
            <w:tr>
              <w:tc>
                <w:tcPr/>
                <w:p>
                  <w:pPr>
                    <w:pStyle w:val="Compact"/>
                    <w:jc w:val="center"/>
                  </w:pPr>
                  <w:r>
                    <w:t xml:space="preserve">CIg</w:t>
                  </w:r>
                </w:p>
              </w:tc>
              <w:tc>
                <w:tcPr/>
                <w:p>
                  <w:pPr>
                    <w:pStyle w:val="Compact"/>
                    <w:jc w:val="center"/>
                  </w:pPr>
                  <w:r>
                    <w:t xml:space="preserve">0.0121</w:t>
                  </w:r>
                </w:p>
              </w:tc>
              <w:tc>
                <w:tcPr/>
                <w:p>
                  <w:pPr>
                    <w:pStyle w:val="Compact"/>
                    <w:jc w:val="center"/>
                  </w:pPr>
                  <w:r>
                    <w:t xml:space="preserve">0.0046</w:t>
                  </w:r>
                </w:p>
              </w:tc>
              <w:tc>
                <w:tcPr/>
                <w:p>
                  <w:pPr>
                    <w:pStyle w:val="Compact"/>
                    <w:jc w:val="center"/>
                  </w:pPr>
                  <w:r>
                    <w:t xml:space="preserve">0.3867</w:t>
                  </w:r>
                </w:p>
              </w:tc>
              <w:tc>
                <w:tcPr/>
                <w:p>
                  <w:pPr>
                    <w:pStyle w:val="Compact"/>
                    <w:jc w:val="center"/>
                  </w:pPr>
                  <w:r>
                    <w:t xml:space="preserve">-0.0009</w:t>
                  </w:r>
                </w:p>
              </w:tc>
              <w:tc>
                <w:tcPr/>
                <w:p>
                  <w:pPr>
                    <w:pStyle w:val="Compact"/>
                    <w:jc w:val="center"/>
                  </w:pPr>
                  <w:r>
                    <w:t xml:space="preserve">-0.3468</w:t>
                  </w:r>
                </w:p>
              </w:tc>
              <w:tc>
                <w:tcPr/>
                <w:p>
                  <w:pPr>
                    <w:pStyle w:val="Compact"/>
                    <w:jc w:val="center"/>
                  </w:pPr>
                  <w:r>
                    <w:t xml:space="preserve">2.930</w:t>
                  </w:r>
                </w:p>
              </w:tc>
            </w:tr>
            <w:tr>
              <w:tc>
                <w:tcPr/>
                <w:p>
                  <w:pPr>
                    <w:pStyle w:val="Compact"/>
                    <w:jc w:val="center"/>
                  </w:pPr>
                  <w:r>
                    <w:t xml:space="preserve">L</w:t>
                  </w:r>
                </w:p>
              </w:tc>
              <w:tc>
                <w:tcPr/>
                <w:p>
                  <w:pPr>
                    <w:pStyle w:val="Compact"/>
                    <w:jc w:val="center"/>
                  </w:pPr>
                  <w:r>
                    <w:t xml:space="preserve">0.3128</w:t>
                  </w:r>
                </w:p>
              </w:tc>
              <w:tc>
                <w:tcPr/>
                <w:p>
                  <w:pPr>
                    <w:pStyle w:val="Compact"/>
                    <w:jc w:val="center"/>
                  </w:pPr>
                  <w:r>
                    <w:t xml:space="preserve">0.1847</w:t>
                  </w:r>
                </w:p>
              </w:tc>
              <w:tc>
                <w:tcPr/>
                <w:p>
                  <w:pPr>
                    <w:pStyle w:val="Compact"/>
                    <w:jc w:val="center"/>
                  </w:pPr>
                  <w:r>
                    <w:t xml:space="preserve">0.9508</w:t>
                  </w:r>
                </w:p>
              </w:tc>
              <w:tc>
                <w:tcPr/>
                <w:p>
                  <w:pPr>
                    <w:pStyle w:val="Compact"/>
                    <w:jc w:val="center"/>
                  </w:pPr>
                  <w:r>
                    <w:t xml:space="preserve">0.2831</w:t>
                  </w:r>
                </w:p>
              </w:tc>
              <w:tc>
                <w:tcPr/>
                <w:p>
                  <w:pPr>
                    <w:pStyle w:val="Compact"/>
                    <w:jc w:val="center"/>
                  </w:pPr>
                  <w:r>
                    <w:t xml:space="preserve">0.6966</w:t>
                  </w:r>
                </w:p>
              </w:tc>
              <w:tc>
                <w:tcPr/>
                <w:p>
                  <w:pPr>
                    <w:pStyle w:val="Compact"/>
                    <w:jc w:val="center"/>
                  </w:pPr>
                  <w:r>
                    <w:t xml:space="preserve">4.070</w:t>
                  </w:r>
                </w:p>
              </w:tc>
            </w:tr>
          </w:tbl>
          <w:bookmarkEnd w:id="240"/>
          <w:p/>
        </w:tc>
      </w:tr>
    </w:tbl>
    <w:bookmarkEnd w:id="241"/>
    <w:bookmarkStart w:id="250" w:name="forest-complexity-plots"/>
    <w:p>
      <w:pPr>
        <w:pStyle w:val="Heading4"/>
      </w:pPr>
      <w:r>
        <w:t xml:space="preserve">Forest complexity plots</w:t>
      </w:r>
    </w:p>
    <w:tbl>
      <w:tblPr>
        <w:tblStyle w:val="Table"/>
        <w:tblW w:type="pct" w:w="5000"/>
        <w:tblLayout w:type="fixed"/>
        <w:tblLook w:firstRow="0" w:lastRow="0" w:firstColumn="0" w:lastColumn="0" w:noHBand="0" w:noVBand="0" w:val="0000"/>
      </w:tblPr>
      <w:tblGrid>
        <w:gridCol w:w="7920"/>
      </w:tblGrid>
      <w:tr>
        <w:tc>
          <w:tcPr/>
          <w:bookmarkStart w:id="245" w:name="fig-appendix-forest-complexity-path"/>
          <w:p>
            <w:pPr>
              <w:pStyle w:val="Compact"/>
              <w:jc w:val="center"/>
            </w:pPr>
            <w:r>
              <w:drawing>
                <wp:inline>
                  <wp:extent cx="5334000" cy="3214529"/>
                  <wp:effectExtent b="0" l="0" r="0" t="0"/>
                  <wp:docPr descr="" title="" id="243" name="Picture"/>
                  <a:graphic>
                    <a:graphicData uri="http://schemas.openxmlformats.org/drawingml/2006/picture">
                      <pic:pic>
                        <pic:nvPicPr>
                          <pic:cNvPr descr="MSE_Thesis_Decomposition_of_CI_Trees_MM_files/figure-docx/fig-appendix-forest-complexity-path-1.pdf" id="244" name="Picture"/>
                          <pic:cNvPicPr>
                            <a:picLocks noChangeArrowheads="1" noChangeAspect="1"/>
                          </pic:cNvPicPr>
                        </pic:nvPicPr>
                        <pic:blipFill>
                          <a:blip r:embed="rId242"/>
                          <a:stretch>
                            <a:fillRect/>
                          </a:stretch>
                        </pic:blipFill>
                        <pic:spPr bwMode="auto">
                          <a:xfrm>
                            <a:off x="0" y="0"/>
                            <a:ext cx="5334000" cy="3214529"/>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Forest complexity by number of terminal nodes.</w:t>
            </w:r>
          </w:p>
          <w:bookmarkEnd w:id="245"/>
        </w:tc>
      </w:tr>
    </w:tbl>
    <w:tbl>
      <w:tblPr>
        <w:tblStyle w:val="Table"/>
        <w:tblW w:type="pct" w:w="5000"/>
        <w:tblLayout w:type="fixed"/>
        <w:tblLook w:firstRow="0" w:lastRow="0" w:firstColumn="0" w:lastColumn="0" w:noHBand="0" w:noVBand="0" w:val="0000"/>
      </w:tblPr>
      <w:tblGrid>
        <w:gridCol w:w="7920"/>
      </w:tblGrid>
      <w:tr>
        <w:tc>
          <w:tcPr/>
          <w:bookmarkStart w:id="249" w:name="fig-appendix-forest-variable-importance"/>
          <w:p>
            <w:pPr>
              <w:pStyle w:val="Compact"/>
              <w:jc w:val="center"/>
            </w:pPr>
            <w:r>
              <w:drawing>
                <wp:inline>
                  <wp:extent cx="5334000" cy="3733800"/>
                  <wp:effectExtent b="0" l="0" r="0" t="0"/>
                  <wp:docPr descr="" title="" id="247" name="Picture"/>
                  <a:graphic>
                    <a:graphicData uri="http://schemas.openxmlformats.org/drawingml/2006/picture">
                      <pic:pic>
                        <pic:nvPicPr>
                          <pic:cNvPr descr="MSE_Thesis_Decomposition_of_CI_Trees_MM_files/figure-docx/fig-appendix-forest-variable-importance-1.pdf" id="248" name="Picture"/>
                          <pic:cNvPicPr>
                            <a:picLocks noChangeArrowheads="1" noChangeAspect="1"/>
                          </pic:cNvPicPr>
                        </pic:nvPicPr>
                        <pic:blipFill>
                          <a:blip r:embed="rId246"/>
                          <a:stretch>
                            <a:fillRect/>
                          </a:stretch>
                        </pic:blipFill>
                        <pic:spPr bwMode="auto">
                          <a:xfrm>
                            <a:off x="0" y="0"/>
                            <a:ext cx="53340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Top forest variables by concentration-index criterion.</w:t>
            </w:r>
          </w:p>
          <w:bookmarkEnd w:id="249"/>
        </w:tc>
      </w:tr>
    </w:tbl>
    <w:bookmarkEnd w:id="250"/>
    <w:bookmarkStart w:id="267" w:name="forest-surrogate-trees-plots"/>
    <w:p>
      <w:pPr>
        <w:pStyle w:val="Heading4"/>
      </w:pPr>
      <w:r>
        <w:t xml:space="preserve">Forest Surrogate Trees plots</w:t>
      </w:r>
    </w:p>
    <w:p>
      <w:pPr>
        <w:pStyle w:val="FirstParagraph"/>
      </w:pPr>
      <w:r>
        <w:t xml:space="preserve">The selected forest surrogate appears in the results section. The remaining</w:t>
      </w:r>
      <w:r>
        <w:t xml:space="preserve"> </w:t>
      </w:r>
      <w:r>
        <w:t xml:space="preserve">criterion-specific forest surrogates are retained here for comparison.</w:t>
      </w:r>
    </w:p>
    <w:tbl>
      <w:tblPr>
        <w:tblStyle w:val="Table"/>
        <w:tblW w:type="pct" w:w="5000"/>
        <w:tblLayout w:type="fixed"/>
        <w:tblLook w:firstRow="0" w:lastRow="0" w:firstColumn="0" w:lastColumn="0" w:noHBand="0" w:noVBand="0" w:val="0000"/>
      </w:tblPr>
      <w:tblGrid>
        <w:gridCol w:w="7920"/>
      </w:tblGrid>
      <w:tr>
        <w:tc>
          <w:tcPr/>
          <w:bookmarkStart w:id="254" w:name="fig-appendix-forest-surrogate-ci"/>
          <w:p>
            <w:pPr>
              <w:pStyle w:val="Compact"/>
              <w:jc w:val="center"/>
            </w:pPr>
            <w:r>
              <w:drawing>
                <wp:inline>
                  <wp:extent cx="5334000" cy="2963333"/>
                  <wp:effectExtent b="0" l="0" r="0" t="0"/>
                  <wp:docPr descr="" title="" id="252" name="Picture"/>
                  <a:graphic>
                    <a:graphicData uri="http://schemas.openxmlformats.org/drawingml/2006/picture">
                      <pic:pic>
                        <pic:nvPicPr>
                          <pic:cNvPr descr="MSE_Thesis_Decomposition_of_CI_Trees_MM_files/figure-docx/fig-appendix-forest-surrogate-ci-1.pdf" id="253" name="Picture"/>
                          <pic:cNvPicPr>
                            <a:picLocks noChangeArrowheads="1" noChangeAspect="1"/>
                          </pic:cNvPicPr>
                        </pic:nvPicPr>
                        <pic:blipFill>
                          <a:blip r:embed="rId251"/>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Surrogate tree for the CI concentration-index forest.</w:t>
            </w:r>
          </w:p>
          <w:bookmarkEnd w:id="254"/>
        </w:tc>
      </w:tr>
    </w:tbl>
    <w:tbl>
      <w:tblPr>
        <w:tblStyle w:val="Table"/>
        <w:tblW w:type="pct" w:w="5000"/>
        <w:tblLayout w:type="fixed"/>
        <w:tblLook w:firstRow="0" w:lastRow="0" w:firstColumn="0" w:lastColumn="0" w:noHBand="0" w:noVBand="0" w:val="0000"/>
      </w:tblPr>
      <w:tblGrid>
        <w:gridCol w:w="7920"/>
      </w:tblGrid>
      <w:tr>
        <w:tc>
          <w:tcPr/>
          <w:bookmarkStart w:id="258" w:name="fig-appendix-forest-surrogate-cig"/>
          <w:p>
            <w:pPr>
              <w:pStyle w:val="Compact"/>
              <w:jc w:val="center"/>
            </w:pPr>
            <w:r>
              <w:drawing>
                <wp:inline>
                  <wp:extent cx="5334000" cy="2963333"/>
                  <wp:effectExtent b="0" l="0" r="0" t="0"/>
                  <wp:docPr descr="" title="" id="256" name="Picture"/>
                  <a:graphic>
                    <a:graphicData uri="http://schemas.openxmlformats.org/drawingml/2006/picture">
                      <pic:pic>
                        <pic:nvPicPr>
                          <pic:cNvPr descr="MSE_Thesis_Decomposition_of_CI_Trees_MM_files/figure-docx/fig-appendix-forest-surrogate-cig-1.pdf" id="257" name="Picture"/>
                          <pic:cNvPicPr>
                            <a:picLocks noChangeArrowheads="1" noChangeAspect="1"/>
                          </pic:cNvPicPr>
                        </pic:nvPicPr>
                        <pic:blipFill>
                          <a:blip r:embed="rId255"/>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24: Surrogate tree for the CIg concentration-index forest.</w:t>
            </w:r>
          </w:p>
          <w:bookmarkEnd w:id="258"/>
        </w:tc>
      </w:tr>
    </w:tbl>
    <w:tbl>
      <w:tblPr>
        <w:tblStyle w:val="Table"/>
        <w:tblW w:type="pct" w:w="5000"/>
        <w:tblLayout w:type="fixed"/>
        <w:tblLook w:firstRow="0" w:lastRow="0" w:firstColumn="0" w:lastColumn="0" w:noHBand="0" w:noVBand="0" w:val="0000"/>
      </w:tblPr>
      <w:tblGrid>
        <w:gridCol w:w="7920"/>
      </w:tblGrid>
      <w:tr>
        <w:tc>
          <w:tcPr/>
          <w:bookmarkStart w:id="262" w:name="fig-appendix-forest-surrogate-cic"/>
          <w:p>
            <w:pPr>
              <w:pStyle w:val="Compact"/>
              <w:jc w:val="center"/>
            </w:pPr>
            <w:r>
              <w:drawing>
                <wp:inline>
                  <wp:extent cx="5334000" cy="2963333"/>
                  <wp:effectExtent b="0" l="0" r="0" t="0"/>
                  <wp:docPr descr="" title="" id="260" name="Picture"/>
                  <a:graphic>
                    <a:graphicData uri="http://schemas.openxmlformats.org/drawingml/2006/picture">
                      <pic:pic>
                        <pic:nvPicPr>
                          <pic:cNvPr descr="MSE_Thesis_Decomposition_of_CI_Trees_MM_files/figure-docx/fig-appendix-forest-surrogate-cic-1.pdf" id="261" name="Picture"/>
                          <pic:cNvPicPr>
                            <a:picLocks noChangeArrowheads="1" noChangeAspect="1"/>
                          </pic:cNvPicPr>
                        </pic:nvPicPr>
                        <pic:blipFill>
                          <a:blip r:embed="rId259"/>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25: Surrogate tree for the CIc concentration-index forest.</w:t>
            </w:r>
          </w:p>
          <w:bookmarkEnd w:id="262"/>
        </w:tc>
      </w:tr>
    </w:tbl>
    <w:tbl>
      <w:tblPr>
        <w:tblStyle w:val="Table"/>
        <w:tblW w:type="pct" w:w="5000"/>
        <w:tblLayout w:type="fixed"/>
        <w:tblLook w:firstRow="0" w:lastRow="0" w:firstColumn="0" w:lastColumn="0" w:noHBand="0" w:noVBand="0" w:val="0000"/>
      </w:tblPr>
      <w:tblGrid>
        <w:gridCol w:w="7920"/>
      </w:tblGrid>
      <w:tr>
        <w:tc>
          <w:tcPr/>
          <w:bookmarkStart w:id="266" w:name="fig-appendix-forest-surrogate-l"/>
          <w:p>
            <w:pPr>
              <w:pStyle w:val="Compact"/>
              <w:jc w:val="center"/>
            </w:pPr>
            <w:r>
              <w:drawing>
                <wp:inline>
                  <wp:extent cx="5334000" cy="2963333"/>
                  <wp:effectExtent b="0" l="0" r="0" t="0"/>
                  <wp:docPr descr="" title="" id="264" name="Picture"/>
                  <a:graphic>
                    <a:graphicData uri="http://schemas.openxmlformats.org/drawingml/2006/picture">
                      <pic:pic>
                        <pic:nvPicPr>
                          <pic:cNvPr descr="MSE_Thesis_Decomposition_of_CI_Trees_MM_files/figure-docx/fig-appendix-forest-surrogate-l-1.pdf" id="265" name="Picture"/>
                          <pic:cNvPicPr>
                            <a:picLocks noChangeArrowheads="1" noChangeAspect="1"/>
                          </pic:cNvPicPr>
                        </pic:nvPicPr>
                        <pic:blipFill>
                          <a:blip r:embed="rId263"/>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26: Surrogate tree for the L concentration-index forest.</w:t>
            </w:r>
          </w:p>
          <w:bookmarkEnd w:id="266"/>
        </w:tc>
      </w:tr>
    </w:tbl>
    <w:bookmarkEnd w:id="267"/>
    <w:bookmarkEnd w:id="268"/>
    <w:bookmarkStart w:id="281" w:name="appendix-s-simulation-sensitivity-plots"/>
    <w:p>
      <w:pPr>
        <w:pStyle w:val="Heading3"/>
      </w:pPr>
      <w:r>
        <w:t xml:space="preserve">Appendix S: Simulation Sensitivity Plots</w:t>
      </w:r>
    </w:p>
    <w:p>
      <w:pPr>
        <w:pStyle w:val="FirstParagraph"/>
      </w:pPr>
      <w:r>
        <w:t xml:space="preserve">The CIg tree is shown in the main results section. The remaining</w:t>
      </w:r>
      <w:r>
        <w:t xml:space="preserve"> </w:t>
      </w:r>
      <w:r>
        <w:t xml:space="preserve">positive-control simulation trees are shown here to check whether the recovered</w:t>
      </w:r>
      <w:r>
        <w:t xml:space="preserve"> </w:t>
      </w:r>
      <w:r>
        <w:t xml:space="preserve">subgroup pattern is stable across concentration-index criteria.</w:t>
      </w:r>
    </w:p>
    <w:tbl>
      <w:tblPr>
        <w:tblStyle w:val="Table"/>
        <w:tblW w:type="pct" w:w="5000"/>
        <w:tblLayout w:type="fixed"/>
        <w:tblLook w:firstRow="0" w:lastRow="0" w:firstColumn="0" w:lastColumn="0" w:noHBand="0" w:noVBand="0" w:val="0000"/>
      </w:tblPr>
      <w:tblGrid>
        <w:gridCol w:w="7920"/>
      </w:tblGrid>
      <w:tr>
        <w:tc>
          <w:tcPr/>
          <w:bookmarkStart w:id="272" w:name="Xb19a5d97e3e86bc9418a745e34d5880cb39e739"/>
          <w:p>
            <w:pPr>
              <w:pStyle w:val="Compact"/>
              <w:jc w:val="center"/>
            </w:pPr>
            <w:r>
              <w:drawing>
                <wp:inline>
                  <wp:extent cx="5334000" cy="3556000"/>
                  <wp:effectExtent b="0" l="0" r="0" t="0"/>
                  <wp:docPr descr="" title="" id="270" name="Picture"/>
                  <a:graphic>
                    <a:graphicData uri="http://schemas.openxmlformats.org/drawingml/2006/picture">
                      <pic:pic>
                        <pic:nvPicPr>
                          <pic:cNvPr descr="MSE_Thesis_Decomposition_of_CI_Trees_MM_files/figure-docx/fig-appendix-simulation-positive-control-ci-1.pdf" id="271" name="Picture"/>
                          <pic:cNvPicPr>
                            <a:picLocks noChangeArrowheads="1" noChangeAspect="1"/>
                          </pic:cNvPicPr>
                        </pic:nvPicPr>
                        <pic:blipFill>
                          <a:blip r:embed="rId26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27: Positive-control simulation tree fitted with the CI criterion.</w:t>
            </w:r>
          </w:p>
          <w:bookmarkEnd w:id="272"/>
        </w:tc>
      </w:tr>
    </w:tbl>
    <w:tbl>
      <w:tblPr>
        <w:tblStyle w:val="Table"/>
        <w:tblW w:type="pct" w:w="5000"/>
        <w:tblLayout w:type="fixed"/>
        <w:tblLook w:firstRow="0" w:lastRow="0" w:firstColumn="0" w:lastColumn="0" w:noHBand="0" w:noVBand="0" w:val="0000"/>
      </w:tblPr>
      <w:tblGrid>
        <w:gridCol w:w="7920"/>
      </w:tblGrid>
      <w:tr>
        <w:tc>
          <w:tcPr/>
          <w:bookmarkStart w:id="276" w:name="Xf2e3d97d8c4306368157db2ee998b9240cd052e"/>
          <w:p>
            <w:pPr>
              <w:pStyle w:val="Compact"/>
              <w:jc w:val="center"/>
            </w:pPr>
            <w:r>
              <w:drawing>
                <wp:inline>
                  <wp:extent cx="5334000" cy="3556000"/>
                  <wp:effectExtent b="0" l="0" r="0" t="0"/>
                  <wp:docPr descr="" title="" id="274" name="Picture"/>
                  <a:graphic>
                    <a:graphicData uri="http://schemas.openxmlformats.org/drawingml/2006/picture">
                      <pic:pic>
                        <pic:nvPicPr>
                          <pic:cNvPr descr="MSE_Thesis_Decomposition_of_CI_Trees_MM_files/figure-docx/fig-appendix-simulation-positive-control-cic-1.pdf" id="275" name="Picture"/>
                          <pic:cNvPicPr>
                            <a:picLocks noChangeArrowheads="1" noChangeAspect="1"/>
                          </pic:cNvPicPr>
                        </pic:nvPicPr>
                        <pic:blipFill>
                          <a:blip r:embed="rId273"/>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28: Positive-control simulation tree fitted with the CIc criterion.</w:t>
            </w:r>
          </w:p>
          <w:bookmarkEnd w:id="276"/>
        </w:tc>
      </w:tr>
    </w:tbl>
    <w:tbl>
      <w:tblPr>
        <w:tblStyle w:val="Table"/>
        <w:tblW w:type="pct" w:w="5000"/>
        <w:tblLayout w:type="fixed"/>
        <w:tblLook w:firstRow="0" w:lastRow="0" w:firstColumn="0" w:lastColumn="0" w:noHBand="0" w:noVBand="0" w:val="0000"/>
      </w:tblPr>
      <w:tblGrid>
        <w:gridCol w:w="7920"/>
      </w:tblGrid>
      <w:tr>
        <w:tc>
          <w:tcPr/>
          <w:bookmarkStart w:id="280" w:name="Xcb55e91654cd3f0b4a2fc8c6cb68e39fa8518c1"/>
          <w:p>
            <w:pPr>
              <w:pStyle w:val="Compact"/>
              <w:jc w:val="center"/>
            </w:pPr>
            <w:r>
              <w:drawing>
                <wp:inline>
                  <wp:extent cx="5334000" cy="3556000"/>
                  <wp:effectExtent b="0" l="0" r="0" t="0"/>
                  <wp:docPr descr="" title="" id="278" name="Picture"/>
                  <a:graphic>
                    <a:graphicData uri="http://schemas.openxmlformats.org/drawingml/2006/picture">
                      <pic:pic>
                        <pic:nvPicPr>
                          <pic:cNvPr descr="MSE_Thesis_Decomposition_of_CI_Trees_MM_files/figure-docx/fig-appendix-simulation-positive-control-l-1.pdf" id="279" name="Picture"/>
                          <pic:cNvPicPr>
                            <a:picLocks noChangeArrowheads="1" noChangeAspect="1"/>
                          </pic:cNvPicPr>
                        </pic:nvPicPr>
                        <pic:blipFill>
                          <a:blip r:embed="rId27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29: Positive-control simulation tree fitted with the L criterion.</w:t>
            </w:r>
          </w:p>
          <w:bookmarkEnd w:id="280"/>
        </w:tc>
      </w:tr>
    </w:tbl>
    <w:bookmarkEnd w:id="281"/>
    <w:bookmarkEnd w:id="282"/>
    <w:bookmarkEnd w:id="2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6" Target="media/rId226.pdf" /><Relationship Type="http://schemas.openxmlformats.org/officeDocument/2006/relationships/image" Id="rId56" Target="media/rId56.pdf" /><Relationship Type="http://schemas.openxmlformats.org/officeDocument/2006/relationships/image" Id="rId222" Target="media/rId222.pdf" /><Relationship Type="http://schemas.openxmlformats.org/officeDocument/2006/relationships/image" Id="rId242" Target="media/rId242.pdf" /><Relationship Type="http://schemas.openxmlformats.org/officeDocument/2006/relationships/image" Id="rId251" Target="media/rId251.pdf" /><Relationship Type="http://schemas.openxmlformats.org/officeDocument/2006/relationships/image" Id="rId259" Target="media/rId259.pdf" /><Relationship Type="http://schemas.openxmlformats.org/officeDocument/2006/relationships/image" Id="rId255" Target="media/rId255.pdf" /><Relationship Type="http://schemas.openxmlformats.org/officeDocument/2006/relationships/image" Id="rId263" Target="media/rId263.pdf" /><Relationship Type="http://schemas.openxmlformats.org/officeDocument/2006/relationships/image" Id="rId83" Target="media/rId83.pdf" /><Relationship Type="http://schemas.openxmlformats.org/officeDocument/2006/relationships/image" Id="rId246" Target="media/rId246.pdf" /><Relationship Type="http://schemas.openxmlformats.org/officeDocument/2006/relationships/image" Id="rId77" Target="media/rId77.pdf" /><Relationship Type="http://schemas.openxmlformats.org/officeDocument/2006/relationships/image" Id="rId231" Target="media/rId231.pdf" /><Relationship Type="http://schemas.openxmlformats.org/officeDocument/2006/relationships/image" Id="rId195" Target="media/rId195.pdf" /><Relationship Type="http://schemas.openxmlformats.org/officeDocument/2006/relationships/image" Id="rId205" Target="media/rId205.pdf" /><Relationship Type="http://schemas.openxmlformats.org/officeDocument/2006/relationships/image" Id="rId269" Target="media/rId269.pdf" /><Relationship Type="http://schemas.openxmlformats.org/officeDocument/2006/relationships/image" Id="rId273" Target="media/rId273.pdf" /><Relationship Type="http://schemas.openxmlformats.org/officeDocument/2006/relationships/image" Id="rId277" Target="media/rId277.pdf" /><Relationship Type="http://schemas.openxmlformats.org/officeDocument/2006/relationships/image" Id="rId72" Target="media/rId72.pdf" /><Relationship Type="http://schemas.openxmlformats.org/officeDocument/2006/relationships/image" Id="rId68" Target="media/rId68.pdf" /><Relationship Type="http://schemas.openxmlformats.org/officeDocument/2006/relationships/image" Id="rId216" Target="media/rId216.pdf" /><Relationship Type="http://schemas.openxmlformats.org/officeDocument/2006/relationships/image" Id="rId11" Target="media/rId11.pdf" /><Relationship Type="http://schemas.openxmlformats.org/officeDocument/2006/relationships/image" Id="rId21" Target="media/rId21.pdf" /><Relationship Type="http://schemas.openxmlformats.org/officeDocument/2006/relationships/image" Id="rId63" Target="media/rId63.pdf" /><Relationship Type="http://schemas.openxmlformats.org/officeDocument/2006/relationships/image" Id="rId94" Target="media/rId94.pdf" /><Relationship Type="http://schemas.openxmlformats.org/officeDocument/2006/relationships/image" Id="rId100" Target="media/rId100.pdf" /><Relationship Type="http://schemas.openxmlformats.org/officeDocument/2006/relationships/image" Id="rId104" Target="media/rId104.pdf" /><Relationship Type="http://schemas.openxmlformats.org/officeDocument/2006/relationships/image" Id="rId108" Target="media/rId108.pdf" /><Relationship Type="http://schemas.openxmlformats.org/officeDocument/2006/relationships/image" Id="rId112" Target="media/rId112.pdf" /><Relationship Type="http://schemas.openxmlformats.org/officeDocument/2006/relationships/image" Id="rId118" Target="media/rId118.pdf" /><Relationship Type="http://schemas.openxmlformats.org/officeDocument/2006/relationships/image" Id="rId88" Target="media/rId88.pdf" /><Relationship Type="http://schemas.openxmlformats.org/officeDocument/2006/relationships/image" Id="rId48" Target="media/rId48.pdf" /><Relationship Type="http://schemas.openxmlformats.org/officeDocument/2006/relationships/image" Id="rId188" Target="media/rId188.png" /><Relationship Type="http://schemas.openxmlformats.org/officeDocument/2006/relationships/hyperlink" Id="rId163" Target="https://dhsprogram.com/methodology/protecting-the-privacy-of-dhs-survey-respondents.cfm" TargetMode="External" /><Relationship Type="http://schemas.openxmlformats.org/officeDocument/2006/relationships/hyperlink" Id="rId165" Target="https://dhsprogram.com/methodology/survey/survey-display-239.cfm" TargetMode="External" /><Relationship Type="http://schemas.openxmlformats.org/officeDocument/2006/relationships/hyperlink" Id="rId161" Target="https://dhsprogram.com/topics/wealth-index/Wealth-Index-Construction.cfm" TargetMode="External" /><Relationship Type="http://schemas.openxmlformats.org/officeDocument/2006/relationships/hyperlink" Id="rId175" Target="https://doi.org/10.1002/hec.953" TargetMode="External" /><Relationship Type="http://schemas.openxmlformats.org/officeDocument/2006/relationships/hyperlink" Id="rId132" Target="https://doi.org/10.1002/sim.4492" TargetMode="External" /><Relationship Type="http://schemas.openxmlformats.org/officeDocument/2006/relationships/hyperlink" Id="rId159" Target="https://doi.org/10.1007/s00038-009-0105-z" TargetMode="External" /><Relationship Type="http://schemas.openxmlformats.org/officeDocument/2006/relationships/hyperlink" Id="rId144" Target="https://doi.org/10.1016/S0140-6736(03)13811-1" TargetMode="External" /><Relationship Type="http://schemas.openxmlformats.org/officeDocument/2006/relationships/hyperlink" Id="rId177" Target="https://doi.org/10.1016/S0304-4076(02)00161-6" TargetMode="External" /><Relationship Type="http://schemas.openxmlformats.org/officeDocument/2006/relationships/hyperlink" Id="rId157" Target="https://doi.org/10.1016/S2214-109X(21)00515-5" TargetMode="External" /><Relationship Type="http://schemas.openxmlformats.org/officeDocument/2006/relationships/hyperlink" Id="rId134" Target="https://doi.org/10.1016/j.jhealeco.2008.02.003" TargetMode="External" /><Relationship Type="http://schemas.openxmlformats.org/officeDocument/2006/relationships/hyperlink" Id="rId136" Target="https://doi.org/10.1111/1475-4932.12373" TargetMode="External" /><Relationship Type="http://schemas.openxmlformats.org/officeDocument/2006/relationships/hyperlink" Id="rId169" Target="https://doi.org/10.1136/bmjopen-2022-064834" TargetMode="External" /><Relationship Type="http://schemas.openxmlformats.org/officeDocument/2006/relationships/hyperlink" Id="rId173" Target="https://doi.org/10.1136/jech-2012-202195" TargetMode="External" /><Relationship Type="http://schemas.openxmlformats.org/officeDocument/2006/relationships/hyperlink" Id="rId146" Target="https://doi.org/10.1186/1471-2458-14-266" TargetMode="External" /><Relationship Type="http://schemas.openxmlformats.org/officeDocument/2006/relationships/hyperlink" Id="rId171" Target="https://doi.org/10.1186/s12889-019-7111-8" TargetMode="External" /><Relationship Type="http://schemas.openxmlformats.org/officeDocument/2006/relationships/hyperlink" Id="rId181" Target="https://doi.org/10.18637/jss.v077.i01" TargetMode="External" /><Relationship Type="http://schemas.openxmlformats.org/officeDocument/2006/relationships/hyperlink" Id="rId167" Target="https://doi.org/10.32614/CRAN.package.rpart" TargetMode="External" /><Relationship Type="http://schemas.openxmlformats.org/officeDocument/2006/relationships/hyperlink" Id="rId138" Target="https://doi.org/10.3390/ijerph14070673" TargetMode="External" /><Relationship Type="http://schemas.openxmlformats.org/officeDocument/2006/relationships/hyperlink" Id="rId153" Target="https://doi.org/10.48550/arXiv.1705.07874" TargetMode="External" /><Relationship Type="http://schemas.openxmlformats.org/officeDocument/2006/relationships/hyperlink" Id="rId151" Target="https://doi.org/10.48550/arXiv.1802.03888" TargetMode="External" /><Relationship Type="http://schemas.openxmlformats.org/officeDocument/2006/relationships/hyperlink" Id="rId155" Target="https://github.com/m-mburu/ineqTrees" TargetMode="External" /><Relationship Type="http://schemas.openxmlformats.org/officeDocument/2006/relationships/hyperlink" Id="rId140" Target="https://hastie.su.domains/ElemStatLearn/" TargetMode="External" /><Relationship Type="http://schemas.openxmlformats.org/officeDocument/2006/relationships/hyperlink" Id="rId142" Target="https://jmlr.org/papers/v16/hothorn15a.html" TargetMode="External" /><Relationship Type="http://schemas.openxmlformats.org/officeDocument/2006/relationships/hyperlink" Id="rId148" Target="https://www.tidymodels.org" TargetMode="External" /><Relationship Type="http://schemas.openxmlformats.org/officeDocument/2006/relationships/hyperlink" Id="rId179" Target="https://www.who.int/data/gho/data/indicators/indicator-details/GHO/under-five-mortality-rate-(probability-of-dying-by-age-5-per-1000-live-births)" TargetMode="External" /></Relationships>
</file>

<file path=word/_rels/footnotes.xml.rels><?xml version="1.0" encoding="UTF-8"?><Relationships xmlns="http://schemas.openxmlformats.org/package/2006/relationships"><Relationship Type="http://schemas.openxmlformats.org/officeDocument/2006/relationships/hyperlink" Id="rId163" Target="https://dhsprogram.com/methodology/protecting-the-privacy-of-dhs-survey-respondents.cfm" TargetMode="External" /><Relationship Type="http://schemas.openxmlformats.org/officeDocument/2006/relationships/hyperlink" Id="rId165" Target="https://dhsprogram.com/methodology/survey/survey-display-239.cfm" TargetMode="External" /><Relationship Type="http://schemas.openxmlformats.org/officeDocument/2006/relationships/hyperlink" Id="rId161" Target="https://dhsprogram.com/topics/wealth-index/Wealth-Index-Construction.cfm" TargetMode="External" /><Relationship Type="http://schemas.openxmlformats.org/officeDocument/2006/relationships/hyperlink" Id="rId175" Target="https://doi.org/10.1002/hec.953" TargetMode="External" /><Relationship Type="http://schemas.openxmlformats.org/officeDocument/2006/relationships/hyperlink" Id="rId132" Target="https://doi.org/10.1002/sim.4492" TargetMode="External" /><Relationship Type="http://schemas.openxmlformats.org/officeDocument/2006/relationships/hyperlink" Id="rId159" Target="https://doi.org/10.1007/s00038-009-0105-z" TargetMode="External" /><Relationship Type="http://schemas.openxmlformats.org/officeDocument/2006/relationships/hyperlink" Id="rId144" Target="https://doi.org/10.1016/S0140-6736(03)13811-1" TargetMode="External" /><Relationship Type="http://schemas.openxmlformats.org/officeDocument/2006/relationships/hyperlink" Id="rId177" Target="https://doi.org/10.1016/S0304-4076(02)00161-6" TargetMode="External" /><Relationship Type="http://schemas.openxmlformats.org/officeDocument/2006/relationships/hyperlink" Id="rId157" Target="https://doi.org/10.1016/S2214-109X(21)00515-5" TargetMode="External" /><Relationship Type="http://schemas.openxmlformats.org/officeDocument/2006/relationships/hyperlink" Id="rId134" Target="https://doi.org/10.1016/j.jhealeco.2008.02.003" TargetMode="External" /><Relationship Type="http://schemas.openxmlformats.org/officeDocument/2006/relationships/hyperlink" Id="rId136" Target="https://doi.org/10.1111/1475-4932.12373" TargetMode="External" /><Relationship Type="http://schemas.openxmlformats.org/officeDocument/2006/relationships/hyperlink" Id="rId169" Target="https://doi.org/10.1136/bmjopen-2022-064834" TargetMode="External" /><Relationship Type="http://schemas.openxmlformats.org/officeDocument/2006/relationships/hyperlink" Id="rId173" Target="https://doi.org/10.1136/jech-2012-202195" TargetMode="External" /><Relationship Type="http://schemas.openxmlformats.org/officeDocument/2006/relationships/hyperlink" Id="rId146" Target="https://doi.org/10.1186/1471-2458-14-266" TargetMode="External" /><Relationship Type="http://schemas.openxmlformats.org/officeDocument/2006/relationships/hyperlink" Id="rId171" Target="https://doi.org/10.1186/s12889-019-7111-8" TargetMode="External" /><Relationship Type="http://schemas.openxmlformats.org/officeDocument/2006/relationships/hyperlink" Id="rId181" Target="https://doi.org/10.18637/jss.v077.i01" TargetMode="External" /><Relationship Type="http://schemas.openxmlformats.org/officeDocument/2006/relationships/hyperlink" Id="rId167" Target="https://doi.org/10.32614/CRAN.package.rpart" TargetMode="External" /><Relationship Type="http://schemas.openxmlformats.org/officeDocument/2006/relationships/hyperlink" Id="rId138" Target="https://doi.org/10.3390/ijerph14070673" TargetMode="External" /><Relationship Type="http://schemas.openxmlformats.org/officeDocument/2006/relationships/hyperlink" Id="rId153" Target="https://doi.org/10.48550/arXiv.1705.07874" TargetMode="External" /><Relationship Type="http://schemas.openxmlformats.org/officeDocument/2006/relationships/hyperlink" Id="rId151" Target="https://doi.org/10.48550/arXiv.1802.03888" TargetMode="External" /><Relationship Type="http://schemas.openxmlformats.org/officeDocument/2006/relationships/hyperlink" Id="rId155" Target="https://github.com/m-mburu/ineqTrees" TargetMode="External" /><Relationship Type="http://schemas.openxmlformats.org/officeDocument/2006/relationships/hyperlink" Id="rId140" Target="https://hastie.su.domains/ElemStatLearn/" TargetMode="External" /><Relationship Type="http://schemas.openxmlformats.org/officeDocument/2006/relationships/hyperlink" Id="rId142" Target="https://jmlr.org/papers/v16/hothorn15a.html" TargetMode="External" /><Relationship Type="http://schemas.openxmlformats.org/officeDocument/2006/relationships/hyperlink" Id="rId148" Target="https://www.tidymodels.org" TargetMode="External" /><Relationship Type="http://schemas.openxmlformats.org/officeDocument/2006/relationships/hyperlink" Id="rId179" Target="https://www.who.int/data/gho/data/indicators/indicator-details/GHO/under-five-mortality-rate-(probability-of-dying-by-age-5-per-1000-live-birth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Decomposition of Concentration-Index Trees</dc:title>
  <dc:creator>Moses Mburu</dc:creator>
  <cp:keywords/>
  <dcterms:created xsi:type="dcterms:W3CDTF">2026-06-11T11:03:39Z</dcterms:created>
  <dcterms:modified xsi:type="dcterms:W3CDTF">2026-06-11T11:03:39Z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ref/thesis_ref.bib</vt:lpwstr>
  </property>
  <property fmtid="{D5CDD505-2E9C-101B-9397-08002B2CF9AE}" pid="5" name="by-author">
    <vt:lpwstr/>
  </property>
  <property fmtid="{D5CDD505-2E9C-101B-9397-08002B2CF9AE}" pid="6" name="csl">
    <vt:lpwstr>ref/harvard.csl</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params">
    <vt:lpwstr/>
  </property>
  <property fmtid="{D5CDD505-2E9C-101B-9397-08002B2CF9AE}" pid="15" name="toc-title">
    <vt:lpwstr>Table of contents</vt:lpwstr>
  </property>
</Properties>
</file>