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0"/>
          <w:szCs w:val="30"/>
        </w:rPr>
        <w:t xml:space="preserve">Sales Performance, Forecast &amp; Inventory Strategy</w:t>
      </w:r>
    </w:p>
    <w:p>
      <w:pPr>
        <w:spacing w:after="30"/>
        <w:jc w:val="center"/>
      </w:pPr>
      <w:r>
        <w:rPr>
          <w:i/>
          <w:iCs/>
          <w:color w:val="595959"/>
          <w:sz w:val="20"/>
          <w:szCs w:val="20"/>
        </w:rPr>
        <w:t xml:space="preserve">Prepared for the Head of Supply Chain and the CFO</w:t>
      </w:r>
    </w:p>
    <w:p>
      <w:pPr>
        <w:pBdr>
          <w:bottom w:val="single" w:color="2E74B5" w:sz="12" w:space="8"/>
        </w:pBdr>
        <w:spacing w:after="120"/>
        <w:jc w:val="center"/>
      </w:pPr>
      <w:r>
        <w:rPr>
          <w:color w:val="595959"/>
          <w:sz w:val="18"/>
          <w:szCs w:val="18"/>
        </w:rPr>
        <w:t xml:space="preserve">Based on 4 years of order history (2015–2018)  |  July 2026</w:t>
      </w:r>
    </w:p>
    <w:p>
      <w:pPr>
        <w:pStyle w:val="Heading1"/>
        <w:pBdr>
          <w:bottom w:val="single" w:color="1F3864" w:sz="6" w:space="3"/>
        </w:pBdr>
        <w:spacing w:after="90" w:before="160"/>
      </w:pPr>
      <w:r>
        <w:rPr>
          <w:b/>
          <w:bCs/>
          <w:color w:val="1F3864"/>
          <w:sz w:val="23"/>
          <w:szCs w:val="23"/>
        </w:rPr>
        <w:t xml:space="preserve">Executive Summary</w:t>
      </w:r>
    </w:p>
    <w:p>
      <w:pPr>
        <w:spacing w:after="80" w:line="252"/>
      </w:pPr>
      <w:r>
        <w:rPr>
          <w:sz w:val="19"/>
          <w:szCs w:val="19"/>
        </w:rPr>
        <w:t xml:space="preserve">Sales have grown steadily over the past four years, and demand follows a predictable seasonal rhythm — quieter in January and February, and strongest from September through December. Our forecast points to a soft start to the next quarter followed by a rebound in the third month, driven mainly by the Technology category. We also found a handful of unusual weeks in the sales history — both surprise spikes and unexpected lulls — that are worth a quick look to confirm they weren't errors or one-off events that could repeat. Finally, by grouping our products into four demand patterns, we can match stocking levels to how each group actually behaves, which should reduce both stockouts on our fastest movers and excess inventory on our slowest ones. Overall, the data supports tightening inventory planning around the quarterly cycle rather than treating all products the same way year-round.</w:t>
      </w:r>
    </w:p>
    <w:p>
      <w:pPr>
        <w:pStyle w:val="Heading1"/>
        <w:pBdr>
          <w:bottom w:val="single" w:color="1F3864" w:sz="6" w:space="3"/>
        </w:pBdr>
        <w:spacing w:after="90" w:before="160"/>
      </w:pPr>
      <w:r>
        <w:rPr>
          <w:b/>
          <w:bCs/>
          <w:color w:val="1F3864"/>
          <w:sz w:val="23"/>
          <w:szCs w:val="23"/>
        </w:rPr>
        <w:t xml:space="preserve">Key Findings from the Analysis</w:t>
      </w:r>
    </w:p>
    <w:p>
      <w:pPr>
        <w:pStyle w:val="ListParagraph"/>
        <w:numPr>
          <w:ilvl w:val="0"/>
          <w:numId w:val="1"/>
        </w:numPr>
        <w:spacing w:after="50" w:line="246"/>
      </w:pPr>
      <w:r>
        <w:rPr>
          <w:b/>
          <w:bCs/>
          <w:sz w:val="19"/>
          <w:szCs w:val="19"/>
        </w:rPr>
        <w:t xml:space="preserve">Strongest category: </w:t>
      </w:r>
      <w:r>
        <w:rPr>
          <w:sz w:val="19"/>
          <w:szCs w:val="19"/>
        </w:rPr>
        <w:t xml:space="preserve"> Technology generates the highest total revenue of any product category, making it the most important category to protect against stockouts during peak months.</w:t>
      </w:r>
    </w:p>
    <w:p>
      <w:pPr>
        <w:pStyle w:val="ListParagraph"/>
        <w:numPr>
          <w:ilvl w:val="0"/>
          <w:numId w:val="1"/>
        </w:numPr>
        <w:spacing w:after="50" w:line="246"/>
      </w:pPr>
      <w:r>
        <w:rPr>
          <w:b/>
          <w:bCs/>
          <w:sz w:val="19"/>
          <w:szCs w:val="19"/>
        </w:rPr>
        <w:t xml:space="preserve">Best-performing region: </w:t>
      </w:r>
      <w:r>
        <w:rPr>
          <w:sz w:val="19"/>
          <w:szCs w:val="19"/>
        </w:rPr>
        <w:t xml:space="preserve"> The West region shows the most consistent year-over-year growth, and it also has the fastest average delivery time (3.9 days), compared to 4.1 days in the Central region.</w:t>
      </w:r>
    </w:p>
    <w:p>
      <w:pPr>
        <w:pStyle w:val="ListParagraph"/>
        <w:numPr>
          <w:ilvl w:val="0"/>
          <w:numId w:val="1"/>
        </w:numPr>
        <w:spacing w:after="50" w:line="246"/>
      </w:pPr>
      <w:r>
        <w:rPr>
          <w:b/>
          <w:bCs/>
          <w:sz w:val="19"/>
          <w:szCs w:val="19"/>
        </w:rPr>
        <w:t xml:space="preserve">Clear seasonal cycle: </w:t>
      </w:r>
      <w:r>
        <w:rPr>
          <w:sz w:val="19"/>
          <w:szCs w:val="19"/>
        </w:rPr>
        <w:t xml:space="preserve"> Sales consistently rise from September through December each year and dip in January and February. This pattern repeats every year in our data, so it is a reliable planning signal rather than a one-time trend.</w:t>
      </w:r>
    </w:p>
    <w:p>
      <w:pPr>
        <w:pStyle w:val="ListParagraph"/>
        <w:numPr>
          <w:ilvl w:val="0"/>
          <w:numId w:val="1"/>
        </w:numPr>
        <w:spacing w:after="50" w:line="246"/>
      </w:pPr>
      <w:r>
        <w:rPr>
          <w:b/>
          <w:bCs/>
          <w:sz w:val="19"/>
          <w:szCs w:val="19"/>
        </w:rPr>
        <w:t xml:space="preserve">Occasional unexplained swings: </w:t>
      </w:r>
      <w:r>
        <w:rPr>
          <w:sz w:val="19"/>
          <w:szCs w:val="19"/>
        </w:rPr>
        <w:t xml:space="preserve"> Even after accounting for the trend and the seasonal cycle, a small number of months still show unusually high or low sales that the normal pattern doesn't explain — these are examined in the anomalies section below.</w:t>
      </w:r>
    </w:p>
    <w:p>
      <w:pPr>
        <w:pStyle w:val="ListParagraph"/>
        <w:numPr>
          <w:ilvl w:val="0"/>
          <w:numId w:val="1"/>
        </w:numPr>
        <w:spacing w:after="50" w:line="246"/>
      </w:pPr>
      <w:r>
        <w:rPr>
          <w:b/>
          <w:bCs/>
          <w:sz w:val="19"/>
          <w:szCs w:val="19"/>
        </w:rPr>
        <w:t xml:space="preserve">Forecast accuracy: </w:t>
      </w:r>
      <w:r>
        <w:rPr>
          <w:sz w:val="19"/>
          <w:szCs w:val="19"/>
        </w:rPr>
        <w:t xml:space="preserve"> We tested three different forecasting approaches. The best-performing model missed actual sales by about 17% on average when tested against real recent data — a reasonable margin for a business planning tool, but not a guarantee.</w:t>
      </w:r>
    </w:p>
    <w:p>
      <w:pPr>
        <w:pStyle w:val="Heading1"/>
        <w:pBdr>
          <w:bottom w:val="single" w:color="1F3864" w:sz="6" w:space="3"/>
        </w:pBdr>
        <w:spacing w:after="90" w:before="160"/>
      </w:pPr>
      <w:r>
        <w:rPr>
          <w:b/>
          <w:bCs/>
          <w:color w:val="1F3864"/>
          <w:sz w:val="23"/>
          <w:szCs w:val="23"/>
        </w:rPr>
        <w:t xml:space="preserve">3-Month Sales Forecast (January – March 2019)</w:t>
      </w:r>
    </w:p>
    <w:p>
      <w:pPr>
        <w:spacing w:after="80" w:line="252"/>
      </w:pPr>
      <w:r>
        <w:rPr>
          <w:sz w:val="19"/>
          <w:szCs w:val="19"/>
        </w:rPr>
        <w:t xml:space="preserve">We tested three forecasting methods side by side and chose the most accurate one as our primary estimate, while using a second method to describe the likely range around that estimate (since it directly reports a confidence range for future months). In plain terms: we expect a slower start to the quarter, with sales picking up meaningfully by the third month.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900"/>
        <w:gridCol w:w="2900"/>
      </w:tblGrid>
      <w:tr>
        <w:trPr>
          <w:tblHeader/>
        </w:trPr>
        <w:tc>
          <w:tcPr>
            <w:tcW w:type="dxa" w:w="2000"/>
            <w:shd w:fill="1F3864" w:val="clear"/>
            <w:tcMar>
              <w:top w:type="dxa" w:w="60"/>
              <w:left w:type="dxa" w:w="100"/>
              <w:bottom w:type="dxa" w:w="60"/>
              <w:right w:type="dxa" w:w="100"/>
            </w:tcMar>
            <w:vAlign w:val="center"/>
          </w:tcPr>
          <w:p>
            <w:pPr>
              <w:jc w:val="center"/>
            </w:pPr>
            <w:r>
              <w:rPr>
                <w:b/>
                <w:bCs/>
                <w:color w:val="FFFFFF"/>
                <w:sz w:val="17"/>
                <w:szCs w:val="17"/>
              </w:rPr>
              <w:t xml:space="preserve">Month</w:t>
            </w:r>
          </w:p>
        </w:tc>
        <w:tc>
          <w:tcPr>
            <w:tcW w:type="dxa" w:w="2200"/>
            <w:shd w:fill="1F3864" w:val="clear"/>
            <w:tcMar>
              <w:top w:type="dxa" w:w="60"/>
              <w:left w:type="dxa" w:w="100"/>
              <w:bottom w:type="dxa" w:w="60"/>
              <w:right w:type="dxa" w:w="100"/>
            </w:tcMar>
            <w:vAlign w:val="center"/>
          </w:tcPr>
          <w:p>
            <w:pPr>
              <w:jc w:val="center"/>
            </w:pPr>
            <w:r>
              <w:rPr>
                <w:b/>
                <w:bCs/>
                <w:color w:val="FFFFFF"/>
                <w:sz w:val="17"/>
                <w:szCs w:val="17"/>
              </w:rPr>
              <w:t xml:space="preserve">Expected Sales</w:t>
            </w:r>
          </w:p>
        </w:tc>
        <w:tc>
          <w:tcPr>
            <w:tcW w:type="dxa" w:w="2900"/>
            <w:shd w:fill="1F3864" w:val="clear"/>
            <w:tcMar>
              <w:top w:type="dxa" w:w="60"/>
              <w:left w:type="dxa" w:w="100"/>
              <w:bottom w:type="dxa" w:w="60"/>
              <w:right w:type="dxa" w:w="100"/>
            </w:tcMar>
            <w:vAlign w:val="center"/>
          </w:tcPr>
          <w:p>
            <w:pPr>
              <w:jc w:val="center"/>
            </w:pPr>
            <w:r>
              <w:rPr>
                <w:b/>
                <w:bCs/>
                <w:color w:val="FFFFFF"/>
                <w:sz w:val="17"/>
                <w:szCs w:val="17"/>
              </w:rPr>
              <w:t xml:space="preserve">Likely Range (Low – High)</w:t>
            </w:r>
          </w:p>
        </w:tc>
        <w:tc>
          <w:tcPr>
            <w:tcW w:type="dxa" w:w="2900"/>
            <w:shd w:fill="1F3864" w:val="clear"/>
            <w:tcMar>
              <w:top w:type="dxa" w:w="60"/>
              <w:left w:type="dxa" w:w="100"/>
              <w:bottom w:type="dxa" w:w="60"/>
              <w:right w:type="dxa" w:w="100"/>
            </w:tcMar>
            <w:vAlign w:val="center"/>
          </w:tcPr>
          <w:p>
            <w:pPr>
              <w:jc w:val="center"/>
            </w:pPr>
            <w:r>
              <w:rPr>
                <w:b/>
                <w:bCs/>
                <w:color w:val="FFFFFF"/>
                <w:sz w:val="17"/>
                <w:szCs w:val="17"/>
              </w:rPr>
              <w:t xml:space="preserve">Plain-Language Read</w:t>
            </w:r>
          </w:p>
        </w:tc>
      </w:tr>
      <w:tr>
        <w:tc>
          <w:tcPr>
            <w:tcW w:type="dxa" w:w="2000"/>
            <w:shd w:fill="FFFFFF" w:val="clear"/>
            <w:tcMar>
              <w:top w:type="dxa" w:w="60"/>
              <w:left w:type="dxa" w:w="100"/>
              <w:bottom w:type="dxa" w:w="60"/>
              <w:right w:type="dxa" w:w="100"/>
            </w:tcMar>
            <w:vAlign w:val="center"/>
          </w:tcPr>
          <w:p>
            <w:pPr>
              <w:jc w:val="left"/>
            </w:pPr>
            <w:r>
              <w:rPr>
                <w:b w:val="false"/>
                <w:bCs w:val="false"/>
                <w:color w:val="000000"/>
                <w:sz w:val="17"/>
                <w:szCs w:val="17"/>
              </w:rPr>
              <w:t xml:space="preserve">January 2019</w:t>
            </w:r>
          </w:p>
        </w:tc>
        <w:tc>
          <w:tcPr>
            <w:tcW w:type="dxa" w:w="22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~$41,600</w:t>
            </w:r>
          </w:p>
        </w:tc>
        <w:tc>
          <w:tcPr>
            <w:tcW w:type="dxa" w:w="29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$32,800 – $51,600</w:t>
            </w:r>
          </w:p>
        </w:tc>
        <w:tc>
          <w:tcPr>
            <w:tcW w:type="dxa" w:w="29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Typical post-holiday slowdown</w:t>
            </w:r>
          </w:p>
        </w:tc>
      </w:tr>
      <w:tr>
        <w:tc>
          <w:tcPr>
            <w:tcW w:type="dxa" w:w="2000"/>
            <w:shd w:fill="DDEBF7" w:val="clear"/>
            <w:tcMar>
              <w:top w:type="dxa" w:w="60"/>
              <w:left w:type="dxa" w:w="100"/>
              <w:bottom w:type="dxa" w:w="60"/>
              <w:right w:type="dxa" w:w="100"/>
            </w:tcMar>
            <w:vAlign w:val="center"/>
          </w:tcPr>
          <w:p>
            <w:pPr>
              <w:jc w:val="left"/>
            </w:pPr>
            <w:r>
              <w:rPr>
                <w:b w:val="false"/>
                <w:bCs w:val="false"/>
                <w:color w:val="000000"/>
                <w:sz w:val="17"/>
                <w:szCs w:val="17"/>
              </w:rPr>
              <w:t xml:space="preserve">February 2019</w:t>
            </w:r>
          </w:p>
        </w:tc>
        <w:tc>
          <w:tcPr>
            <w:tcW w:type="dxa" w:w="22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~$23,600</w:t>
            </w:r>
          </w:p>
        </w:tc>
        <w:tc>
          <w:tcPr>
            <w:tcW w:type="dxa" w:w="29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$24,200 – $42,900*</w:t>
            </w:r>
          </w:p>
        </w:tc>
        <w:tc>
          <w:tcPr>
            <w:tcW w:type="dxa" w:w="29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Seasonal low point</w:t>
            </w:r>
          </w:p>
        </w:tc>
      </w:tr>
      <w:tr>
        <w:tc>
          <w:tcPr>
            <w:tcW w:type="dxa" w:w="2000"/>
            <w:shd w:fill="FFFFFF" w:val="clear"/>
            <w:tcMar>
              <w:top w:type="dxa" w:w="60"/>
              <w:left w:type="dxa" w:w="100"/>
              <w:bottom w:type="dxa" w:w="60"/>
              <w:right w:type="dxa" w:w="100"/>
            </w:tcMar>
            <w:vAlign w:val="center"/>
          </w:tcPr>
          <w:p>
            <w:pPr>
              <w:jc w:val="left"/>
            </w:pPr>
            <w:r>
              <w:rPr>
                <w:b w:val="false"/>
                <w:bCs w:val="false"/>
                <w:color w:val="000000"/>
                <w:sz w:val="17"/>
                <w:szCs w:val="17"/>
              </w:rPr>
              <w:t xml:space="preserve">March 2019</w:t>
            </w:r>
          </w:p>
        </w:tc>
        <w:tc>
          <w:tcPr>
            <w:tcW w:type="dxa" w:w="22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~$49,000</w:t>
            </w:r>
          </w:p>
        </w:tc>
        <w:tc>
          <w:tcPr>
            <w:tcW w:type="dxa" w:w="29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$71,200 – $90,000*</w:t>
            </w:r>
          </w:p>
        </w:tc>
        <w:tc>
          <w:tcPr>
            <w:tcW w:type="dxa" w:w="29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Strong rebound expected</w:t>
            </w:r>
          </w:p>
        </w:tc>
      </w:tr>
    </w:tbl>
    <w:p>
      <w:pPr>
        <w:spacing w:after="80" w:line="252"/>
      </w:pPr>
      <w:r>
        <w:rPr>
          <w:i/>
          <w:iCs/>
          <w:color w:val="595959"/>
          <w:sz w:val="19"/>
          <w:szCs w:val="19"/>
        </w:rPr>
        <w:t xml:space="preserve">*February and March ranges come from our secondary model and are noticeably wider than January's, meaning we have less certainty the further out we forecast — a normal limitation of any forecasting tool, discussed further in the Risks section.</w:t>
      </w:r>
    </w:p>
    <w:p>
      <w:pPr>
        <w:spacing w:after="80" w:line="252"/>
      </w:pPr>
      <w:r>
        <w:rPr>
          <w:sz w:val="19"/>
          <w:szCs w:val="19"/>
        </w:rPr>
        <w:t xml:space="preserve">The overall message for planning purposes: budget for a dip in February, but be ready to move stock quickly once March demand arrives, especially for Technology products, which historically drive the bulk of the Q1 rebound.</w:t>
      </w:r>
    </w:p>
    <w:p>
      <w:pPr>
        <w:pStyle w:val="Heading1"/>
        <w:pBdr>
          <w:bottom w:val="single" w:color="1F3864" w:sz="6" w:space="3"/>
        </w:pBdr>
        <w:spacing w:after="90" w:before="160"/>
      </w:pPr>
      <w:r>
        <w:rPr>
          <w:b/>
          <w:bCs/>
          <w:color w:val="1F3864"/>
          <w:sz w:val="23"/>
          <w:szCs w:val="23"/>
        </w:rPr>
        <w:t xml:space="preserve">Top 3 Sales Anomalies and Likely Causes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900"/>
        <w:gridCol w:w="3300"/>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17"/>
                <w:szCs w:val="17"/>
              </w:rPr>
              <w:t xml:space="preserve">Rank</w:t>
            </w:r>
          </w:p>
        </w:tc>
        <w:tc>
          <w:tcPr>
            <w:tcW w:type="dxa" w:w="2100"/>
            <w:shd w:fill="1F3864" w:val="clear"/>
            <w:tcMar>
              <w:top w:type="dxa" w:w="60"/>
              <w:left w:type="dxa" w:w="100"/>
              <w:bottom w:type="dxa" w:w="60"/>
              <w:right w:type="dxa" w:w="100"/>
            </w:tcMar>
            <w:vAlign w:val="center"/>
          </w:tcPr>
          <w:p>
            <w:pPr>
              <w:jc w:val="center"/>
            </w:pPr>
            <w:r>
              <w:rPr>
                <w:b/>
                <w:bCs/>
                <w:color w:val="FFFFFF"/>
                <w:sz w:val="17"/>
                <w:szCs w:val="17"/>
              </w:rPr>
              <w:t xml:space="preserve">Period</w:t>
            </w:r>
          </w:p>
        </w:tc>
        <w:tc>
          <w:tcPr>
            <w:tcW w:type="dxa" w:w="2900"/>
            <w:shd w:fill="1F3864" w:val="clear"/>
            <w:tcMar>
              <w:top w:type="dxa" w:w="60"/>
              <w:left w:type="dxa" w:w="100"/>
              <w:bottom w:type="dxa" w:w="60"/>
              <w:right w:type="dxa" w:w="100"/>
            </w:tcMar>
            <w:vAlign w:val="center"/>
          </w:tcPr>
          <w:p>
            <w:pPr>
              <w:jc w:val="center"/>
            </w:pPr>
            <w:r>
              <w:rPr>
                <w:b/>
                <w:bCs/>
                <w:color w:val="FFFFFF"/>
                <w:sz w:val="17"/>
                <w:szCs w:val="17"/>
              </w:rPr>
              <w:t xml:space="preserve">What Happened</w:t>
            </w:r>
          </w:p>
        </w:tc>
        <w:tc>
          <w:tcPr>
            <w:tcW w:type="dxa" w:w="3300"/>
            <w:shd w:fill="1F3864" w:val="clear"/>
            <w:tcMar>
              <w:top w:type="dxa" w:w="60"/>
              <w:left w:type="dxa" w:w="100"/>
              <w:bottom w:type="dxa" w:w="60"/>
              <w:right w:type="dxa" w:w="100"/>
            </w:tcMar>
            <w:vAlign w:val="center"/>
          </w:tcPr>
          <w:p>
            <w:pPr>
              <w:jc w:val="center"/>
            </w:pPr>
            <w:r>
              <w:rPr>
                <w:b/>
                <w:bCs/>
                <w:color w:val="FFFFFF"/>
                <w:sz w:val="17"/>
                <w:szCs w:val="17"/>
              </w:rPr>
              <w:t xml:space="preserve">Most Likely Cause</w:t>
            </w:r>
          </w:p>
        </w:tc>
      </w:tr>
      <w:tr>
        <w:tc>
          <w:tcPr>
            <w:tcW w:type="dxa" w:w="700"/>
            <w:shd w:fill="FFFFFF" w:val="clear"/>
            <w:tcMar>
              <w:top w:type="dxa" w:w="60"/>
              <w:left w:type="dxa" w:w="100"/>
              <w:bottom w:type="dxa" w:w="60"/>
              <w:right w:type="dxa" w:w="100"/>
            </w:tcMar>
            <w:vAlign w:val="center"/>
          </w:tcPr>
          <w:p>
            <w:pPr>
              <w:jc w:val="left"/>
            </w:pPr>
            <w:r>
              <w:rPr>
                <w:b w:val="false"/>
                <w:bCs w:val="false"/>
                <w:color w:val="000000"/>
                <w:sz w:val="17"/>
                <w:szCs w:val="17"/>
              </w:rPr>
              <w:t xml:space="preserve">1</w:t>
            </w:r>
          </w:p>
        </w:tc>
        <w:tc>
          <w:tcPr>
            <w:tcW w:type="dxa" w:w="21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Week of Sep 13, 2015</w:t>
            </w:r>
          </w:p>
        </w:tc>
        <w:tc>
          <w:tcPr>
            <w:tcW w:type="dxa" w:w="29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Sales spiked far above the normal range for that week — the single largest deviation found in four years of data.</w:t>
            </w:r>
          </w:p>
        </w:tc>
        <w:tc>
          <w:tcPr>
            <w:tcW w:type="dxa" w:w="33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Likely a large bulk/corporate order or a promotional push during an already-strong month.</w:t>
            </w:r>
          </w:p>
        </w:tc>
      </w:tr>
      <w:tr>
        <w:tc>
          <w:tcPr>
            <w:tcW w:type="dxa" w:w="700"/>
            <w:shd w:fill="DDEBF7" w:val="clear"/>
            <w:tcMar>
              <w:top w:type="dxa" w:w="60"/>
              <w:left w:type="dxa" w:w="100"/>
              <w:bottom w:type="dxa" w:w="60"/>
              <w:right w:type="dxa" w:w="100"/>
            </w:tcMar>
            <w:vAlign w:val="center"/>
          </w:tcPr>
          <w:p>
            <w:pPr>
              <w:jc w:val="left"/>
            </w:pPr>
            <w:r>
              <w:rPr>
                <w:b w:val="false"/>
                <w:bCs w:val="false"/>
                <w:color w:val="000000"/>
                <w:sz w:val="17"/>
                <w:szCs w:val="17"/>
              </w:rPr>
              <w:t xml:space="preserve">2</w:t>
            </w:r>
          </w:p>
        </w:tc>
        <w:tc>
          <w:tcPr>
            <w:tcW w:type="dxa" w:w="21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Week of Mar 22, 2015</w:t>
            </w:r>
          </w:p>
        </w:tc>
        <w:tc>
          <w:tcPr>
            <w:tcW w:type="dxa" w:w="29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A sharp, one-week spike to roughly $37,700, well outside the normal weekly pattern.</w:t>
            </w:r>
          </w:p>
        </w:tc>
        <w:tc>
          <w:tcPr>
            <w:tcW w:type="dxa" w:w="33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Consistent with a one-off large order or a short promotional campaign rather than a shift in underlying demand.</w:t>
            </w:r>
          </w:p>
        </w:tc>
      </w:tr>
      <w:tr>
        <w:tc>
          <w:tcPr>
            <w:tcW w:type="dxa" w:w="700"/>
            <w:shd w:fill="FFFFFF" w:val="clear"/>
            <w:tcMar>
              <w:top w:type="dxa" w:w="60"/>
              <w:left w:type="dxa" w:w="100"/>
              <w:bottom w:type="dxa" w:w="60"/>
              <w:right w:type="dxa" w:w="100"/>
            </w:tcMar>
            <w:vAlign w:val="center"/>
          </w:tcPr>
          <w:p>
            <w:pPr>
              <w:jc w:val="left"/>
            </w:pPr>
            <w:r>
              <w:rPr>
                <w:b w:val="false"/>
                <w:bCs w:val="false"/>
                <w:color w:val="000000"/>
                <w:sz w:val="17"/>
                <w:szCs w:val="17"/>
              </w:rPr>
              <w:t xml:space="preserve">3</w:t>
            </w:r>
          </w:p>
        </w:tc>
        <w:tc>
          <w:tcPr>
            <w:tcW w:type="dxa" w:w="21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Early Jan – Feb 2015</w:t>
            </w:r>
          </w:p>
        </w:tc>
        <w:tc>
          <w:tcPr>
            <w:tcW w:type="dxa" w:w="29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Two of the lowest sales weeks in the dataset, both under $400.</w:t>
            </w:r>
          </w:p>
        </w:tc>
        <w:tc>
          <w:tcPr>
            <w:tcW w:type="dxa" w:w="33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Likely reflects the very start of the recorded data (ramp-up period) rather than a genuine demand collapse; worth confirming against store/system records.</w:t>
            </w:r>
          </w:p>
        </w:tc>
      </w:tr>
    </w:tbl>
    <w:p>
      <w:pPr>
        <w:spacing w:after="80" w:line="252"/>
      </w:pPr>
      <w:r>
        <w:rPr>
          <w:sz w:val="19"/>
          <w:szCs w:val="19"/>
        </w:rPr>
        <w:t xml:space="preserve">Recommendation: treat single-week spikes like #1 and #2 as one-off events unless a pattern repeats — but confirm with sales records that they reflect real orders, not data-entry duplicates. The low weeks in #3 are less concerning if they simply mark the beginning of the tracked history.</w:t>
      </w:r>
    </w:p>
    <w:p>
      <w:pPr>
        <w:pStyle w:val="Heading1"/>
        <w:pBdr>
          <w:bottom w:val="single" w:color="1F3864" w:sz="6" w:space="3"/>
        </w:pBdr>
        <w:spacing w:after="90" w:before="160"/>
      </w:pPr>
      <w:r>
        <w:rPr>
          <w:b/>
          <w:bCs/>
          <w:color w:val="1F3864"/>
          <w:sz w:val="23"/>
          <w:szCs w:val="23"/>
        </w:rPr>
        <w:t xml:space="preserve">Product Demand Segmentation &amp; Stocking Strategy</w:t>
      </w:r>
    </w:p>
    <w:p>
      <w:pPr>
        <w:spacing w:after="80" w:line="252"/>
      </w:pPr>
      <w:r>
        <w:rPr>
          <w:sz w:val="19"/>
          <w:szCs w:val="19"/>
        </w:rPr>
        <w:t xml:space="preserve">We grouped product sub-categories (e.g., Chairs, Phones, Paper, Copiers) into four segments based on how much they sell, how steady that demand is, and how fast they're growing. Each segment needs a different stocking approach: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00"/>
      </w:tblGrid>
      <w:tr>
        <w:trPr>
          <w:tblHeader/>
        </w:trPr>
        <w:tc>
          <w:tcPr>
            <w:tcW w:type="dxa" w:w="2100"/>
            <w:shd w:fill="1F3864" w:val="clear"/>
            <w:tcMar>
              <w:top w:type="dxa" w:w="60"/>
              <w:left w:type="dxa" w:w="100"/>
              <w:bottom w:type="dxa" w:w="60"/>
              <w:right w:type="dxa" w:w="100"/>
            </w:tcMar>
            <w:vAlign w:val="center"/>
          </w:tcPr>
          <w:p>
            <w:pPr>
              <w:jc w:val="center"/>
            </w:pPr>
            <w:r>
              <w:rPr>
                <w:b/>
                <w:bCs/>
                <w:color w:val="FFFFFF"/>
                <w:sz w:val="17"/>
                <w:szCs w:val="17"/>
              </w:rPr>
              <w:t xml:space="preserve">Segment</w:t>
            </w:r>
          </w:p>
        </w:tc>
        <w:tc>
          <w:tcPr>
            <w:tcW w:type="dxa" w:w="3200"/>
            <w:shd w:fill="1F3864" w:val="clear"/>
            <w:tcMar>
              <w:top w:type="dxa" w:w="60"/>
              <w:left w:type="dxa" w:w="100"/>
              <w:bottom w:type="dxa" w:w="60"/>
              <w:right w:type="dxa" w:w="100"/>
            </w:tcMar>
            <w:vAlign w:val="center"/>
          </w:tcPr>
          <w:p>
            <w:pPr>
              <w:jc w:val="center"/>
            </w:pPr>
            <w:r>
              <w:rPr>
                <w:b/>
                <w:bCs/>
                <w:color w:val="FFFFFF"/>
                <w:sz w:val="17"/>
                <w:szCs w:val="17"/>
              </w:rPr>
              <w:t xml:space="preserve">What Defines It</w:t>
            </w:r>
          </w:p>
        </w:tc>
        <w:tc>
          <w:tcPr>
            <w:tcW w:type="dxa" w:w="3700"/>
            <w:shd w:fill="1F3864" w:val="clear"/>
            <w:tcMar>
              <w:top w:type="dxa" w:w="60"/>
              <w:left w:type="dxa" w:w="100"/>
              <w:bottom w:type="dxa" w:w="60"/>
              <w:right w:type="dxa" w:w="100"/>
            </w:tcMar>
            <w:vAlign w:val="center"/>
          </w:tcPr>
          <w:p>
            <w:pPr>
              <w:jc w:val="center"/>
            </w:pPr>
            <w:r>
              <w:rPr>
                <w:b/>
                <w:bCs/>
                <w:color w:val="FFFFFF"/>
                <w:sz w:val="17"/>
                <w:szCs w:val="17"/>
              </w:rPr>
              <w:t xml:space="preserve">Recommended Stocking Strategy</w:t>
            </w:r>
          </w:p>
        </w:tc>
      </w:tr>
      <w:tr>
        <w:tc>
          <w:tcPr>
            <w:tcW w:type="dxa" w:w="2100"/>
            <w:shd w:fill="FFFFFF" w:val="clear"/>
            <w:tcMar>
              <w:top w:type="dxa" w:w="60"/>
              <w:left w:type="dxa" w:w="100"/>
              <w:bottom w:type="dxa" w:w="60"/>
              <w:right w:type="dxa" w:w="100"/>
            </w:tcMar>
            <w:vAlign w:val="center"/>
          </w:tcPr>
          <w:p>
            <w:pPr>
              <w:jc w:val="left"/>
            </w:pPr>
            <w:r>
              <w:rPr>
                <w:b w:val="false"/>
                <w:bCs w:val="false"/>
                <w:color w:val="000000"/>
                <w:sz w:val="17"/>
                <w:szCs w:val="17"/>
              </w:rPr>
              <w:t xml:space="preserve">High Volume, Stable Demand</w:t>
            </w:r>
          </w:p>
        </w:tc>
        <w:tc>
          <w:tcPr>
            <w:tcW w:type="dxa" w:w="32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Consistently strong sellers (e.g., Phones, Chairs, Storage, Binders) with steady, predictable demand.</w:t>
            </w:r>
          </w:p>
        </w:tc>
        <w:tc>
          <w:tcPr>
            <w:tcW w:type="dxa" w:w="37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Keep higher on-hand inventory with regular replenishment cycles and a strong reorder point — the priority is avoiding stockouts.</w:t>
            </w:r>
          </w:p>
        </w:tc>
      </w:tr>
      <w:tr>
        <w:tc>
          <w:tcPr>
            <w:tcW w:type="dxa" w:w="2100"/>
            <w:shd w:fill="DDEBF7" w:val="clear"/>
            <w:tcMar>
              <w:top w:type="dxa" w:w="60"/>
              <w:left w:type="dxa" w:w="100"/>
              <w:bottom w:type="dxa" w:w="60"/>
              <w:right w:type="dxa" w:w="100"/>
            </w:tcMar>
            <w:vAlign w:val="center"/>
          </w:tcPr>
          <w:p>
            <w:pPr>
              <w:jc w:val="left"/>
            </w:pPr>
            <w:r>
              <w:rPr>
                <w:b w:val="false"/>
                <w:bCs w:val="false"/>
                <w:color w:val="000000"/>
                <w:sz w:val="17"/>
                <w:szCs w:val="17"/>
              </w:rPr>
              <w:t xml:space="preserve">High Volume, High Volatility</w:t>
            </w:r>
          </w:p>
        </w:tc>
        <w:tc>
          <w:tcPr>
            <w:tcW w:type="dxa" w:w="32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Big-ticket, high-value items (e.g., Machines, Copiers) that sell well but swing sharply month to month.</w:t>
            </w:r>
          </w:p>
        </w:tc>
        <w:tc>
          <w:tcPr>
            <w:tcW w:type="dxa" w:w="37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Hold moderate safety stock, review levels frequently, and replenish in smaller, more frequent batches to absorb the swings.</w:t>
            </w:r>
          </w:p>
        </w:tc>
      </w:tr>
      <w:tr>
        <w:tc>
          <w:tcPr>
            <w:tcW w:type="dxa" w:w="2100"/>
            <w:shd w:fill="FFFFFF" w:val="clear"/>
            <w:tcMar>
              <w:top w:type="dxa" w:w="60"/>
              <w:left w:type="dxa" w:w="100"/>
              <w:bottom w:type="dxa" w:w="60"/>
              <w:right w:type="dxa" w:w="100"/>
            </w:tcMar>
            <w:vAlign w:val="center"/>
          </w:tcPr>
          <w:p>
            <w:pPr>
              <w:jc w:val="left"/>
            </w:pPr>
            <w:r>
              <w:rPr>
                <w:b w:val="false"/>
                <w:bCs w:val="false"/>
                <w:color w:val="000000"/>
                <w:sz w:val="17"/>
                <w:szCs w:val="17"/>
              </w:rPr>
              <w:t xml:space="preserve">Low Volume, Stable Demand</w:t>
            </w:r>
          </w:p>
        </w:tc>
        <w:tc>
          <w:tcPr>
            <w:tcW w:type="dxa" w:w="32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Smaller, steady sellers (e.g., Art, Envelopes, Labels, Fasteners) with low but predictable turnover.</w:t>
            </w:r>
          </w:p>
        </w:tc>
        <w:tc>
          <w:tcPr>
            <w:tcW w:type="dxa" w:w="3700"/>
            <w:shd w:fill="FFFFFF" w:val="clear"/>
            <w:tcMar>
              <w:top w:type="dxa" w:w="60"/>
              <w:left w:type="dxa" w:w="100"/>
              <w:bottom w:type="dxa" w:w="60"/>
              <w:right w:type="dxa" w:w="100"/>
            </w:tcMar>
            <w:vAlign w:val="center"/>
          </w:tcPr>
          <w:p>
            <w:pPr>
              <w:jc w:val="center"/>
            </w:pPr>
            <w:r>
              <w:rPr>
                <w:b w:val="false"/>
                <w:bCs w:val="false"/>
                <w:color w:val="000000"/>
                <w:sz w:val="17"/>
                <w:szCs w:val="17"/>
              </w:rPr>
              <w:t xml:space="preserve">Keep lean stock with small reorder quantities — avoid tying up shelf space and capital on slow movers.</w:t>
            </w:r>
          </w:p>
        </w:tc>
      </w:tr>
      <w:tr>
        <w:tc>
          <w:tcPr>
            <w:tcW w:type="dxa" w:w="2100"/>
            <w:shd w:fill="DDEBF7" w:val="clear"/>
            <w:tcMar>
              <w:top w:type="dxa" w:w="60"/>
              <w:left w:type="dxa" w:w="100"/>
              <w:bottom w:type="dxa" w:w="60"/>
              <w:right w:type="dxa" w:w="100"/>
            </w:tcMar>
            <w:vAlign w:val="center"/>
          </w:tcPr>
          <w:p>
            <w:pPr>
              <w:jc w:val="left"/>
            </w:pPr>
            <w:r>
              <w:rPr>
                <w:b w:val="false"/>
                <w:bCs w:val="false"/>
                <w:color w:val="000000"/>
                <w:sz w:val="17"/>
                <w:szCs w:val="17"/>
              </w:rPr>
              <w:t xml:space="preserve">Growing Demand</w:t>
            </w:r>
          </w:p>
        </w:tc>
        <w:tc>
          <w:tcPr>
            <w:tcW w:type="dxa" w:w="32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Currently smaller in volume (e.g., Supplies) but growing much faster than any other segment — nearly 193% year over year.</w:t>
            </w:r>
          </w:p>
        </w:tc>
        <w:tc>
          <w:tcPr>
            <w:tcW w:type="dxa" w:w="3700"/>
            <w:shd w:fill="DDEBF7" w:val="clear"/>
            <w:tcMar>
              <w:top w:type="dxa" w:w="60"/>
              <w:left w:type="dxa" w:w="100"/>
              <w:bottom w:type="dxa" w:w="60"/>
              <w:right w:type="dxa" w:w="100"/>
            </w:tcMar>
            <w:vAlign w:val="center"/>
          </w:tcPr>
          <w:p>
            <w:pPr>
              <w:jc w:val="center"/>
            </w:pPr>
            <w:r>
              <w:rPr>
                <w:b w:val="false"/>
                <w:bCs w:val="false"/>
                <w:color w:val="000000"/>
                <w:sz w:val="17"/>
                <w:szCs w:val="17"/>
              </w:rPr>
              <w:t xml:space="preserve">Increase reorder quantities early, build in extra safety stock, and monitor closely for continued acceleration.</w:t>
            </w:r>
          </w:p>
        </w:tc>
      </w:tr>
    </w:tbl>
    <w:p>
      <w:pPr>
        <w:pStyle w:val="Heading1"/>
        <w:pBdr>
          <w:bottom w:val="single" w:color="1F3864" w:sz="6" w:space="3"/>
        </w:pBdr>
        <w:spacing w:after="90" w:before="160"/>
      </w:pPr>
      <w:r>
        <w:rPr>
          <w:b/>
          <w:bCs/>
          <w:color w:val="1F3864"/>
          <w:sz w:val="23"/>
          <w:szCs w:val="23"/>
        </w:rPr>
        <w:t xml:space="preserve">Business Recommendations</w:t>
      </w:r>
    </w:p>
    <w:p>
      <w:pPr>
        <w:pStyle w:val="ListParagraph"/>
        <w:numPr>
          <w:ilvl w:val="0"/>
          <w:numId w:val="1"/>
        </w:numPr>
        <w:spacing w:after="50" w:line="246"/>
      </w:pPr>
      <w:r>
        <w:rPr>
          <w:b/>
          <w:bCs/>
          <w:sz w:val="19"/>
          <w:szCs w:val="19"/>
        </w:rPr>
        <w:t xml:space="preserve">1. Front-load Q4 inventory for Technology and high-value items. </w:t>
      </w:r>
      <w:r>
        <w:rPr>
          <w:sz w:val="19"/>
          <w:szCs w:val="19"/>
        </w:rPr>
        <w:t xml:space="preserve"> Build up Technology and high-value item inventory (Machines, Copiers) ahead of September, since four straight years of data show sales consistently climbing from September through December, and Technology already drives the most total revenue of any category.</w:t>
      </w:r>
    </w:p>
    <w:p>
      <w:pPr>
        <w:pStyle w:val="ListParagraph"/>
        <w:numPr>
          <w:ilvl w:val="0"/>
          <w:numId w:val="1"/>
        </w:numPr>
        <w:spacing w:after="50" w:line="246"/>
      </w:pPr>
      <w:r>
        <w:rPr>
          <w:b/>
          <w:bCs/>
          <w:sz w:val="19"/>
          <w:szCs w:val="19"/>
        </w:rPr>
        <w:t xml:space="preserve">2. Get ahead of the Supplies growth curve before it outstrips current stock plans. </w:t>
      </w:r>
      <w:r>
        <w:rPr>
          <w:sz w:val="19"/>
          <w:szCs w:val="19"/>
        </w:rPr>
        <w:t xml:space="preserve"> The Supplies sub-category is growing nearly 193% year over year, far outpacing every other segment. Current order volumes are still low, which means a stockout would be easy to overlook but costly to the business's fastest-growing product line — recommend increasing reorder quantities and adding a monthly growth check-in.</w:t>
      </w:r>
    </w:p>
    <w:p>
      <w:pPr>
        <w:pStyle w:val="ListParagraph"/>
        <w:numPr>
          <w:ilvl w:val="0"/>
          <w:numId w:val="1"/>
        </w:numPr>
        <w:spacing w:after="50" w:line="246"/>
      </w:pPr>
      <w:r>
        <w:rPr>
          <w:b/>
          <w:bCs/>
          <w:sz w:val="19"/>
          <w:szCs w:val="19"/>
        </w:rPr>
        <w:t xml:space="preserve">3. Use the West region's logistics practices as a model for Central. </w:t>
      </w:r>
      <w:r>
        <w:rPr>
          <w:sz w:val="19"/>
          <w:szCs w:val="19"/>
        </w:rPr>
        <w:t xml:space="preserve"> The West region has both the most consistent year-over-year growth and the fastest average delivery time (3.9 days vs. 4.1 days in Central). Recommend reviewing what West is doing differently in fulfillment and logistics, and testing those practices in Central, the region with the slowest average shipping time.</w:t>
      </w:r>
    </w:p>
    <w:p>
      <w:pPr>
        <w:pStyle w:val="Heading1"/>
        <w:pBdr>
          <w:bottom w:val="single" w:color="1F3864" w:sz="6" w:space="3"/>
        </w:pBdr>
        <w:spacing w:after="90" w:before="160"/>
      </w:pPr>
      <w:r>
        <w:rPr>
          <w:b/>
          <w:bCs/>
          <w:color w:val="1F3864"/>
          <w:sz w:val="23"/>
          <w:szCs w:val="23"/>
        </w:rPr>
        <w:t xml:space="preserve">Risk &amp; Limitation to Keep in Mind</w:t>
      </w:r>
    </w:p>
    <w:p>
      <w:pPr>
        <w:spacing w:after="80" w:line="252"/>
      </w:pPr>
      <w:r>
        <w:rPr>
          <w:sz w:val="19"/>
          <w:szCs w:val="19"/>
        </w:rPr>
        <w:t xml:space="preserve">These forecasts are built on four years of company-wide monthly sales data — a relatively short history for detecting long-term patterns with full confidence. The forecasting models also cannot see outside their own historical data, so they have no way of anticipating sudden shocks such as a supply disruption, a major economic shift, or a new competitor entering the market. In backtesting, our most accurate model was still off by about 17% on average, and the further out we forecast (e.g., March vs. January), the wider the realistic range of outcomes becomes. This tool should inform planning conversations and set a sensible starting point — not replace judgment calls from people who know the business and its customers directly.</w:t>
      </w:r>
    </w:p>
    <w:p>
      <w:pPr>
        <w:pBdr>
          <w:top w:val="single" w:color="DDEBF7" w:sz="4" w:space="8"/>
        </w:pBdr>
        <w:spacing w:before="300"/>
      </w:pPr>
      <w:r>
        <w:rPr>
          <w:i/>
          <w:iCs/>
          <w:color w:val="595959"/>
          <w:sz w:val="17"/>
          <w:szCs w:val="17"/>
        </w:rPr>
        <w:t xml:space="preserve">Prepared using historical order data (2015–2018); forecast covers January–March 2019 based on time-series and machine-learning models tested against recent actuals.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2026-07-13T17:20:38.581Z</dcterms:created>
  <dcterms:modified xsi:type="dcterms:W3CDTF">2026-07-13T17:20:38.581Z</dcterms:modified>
</cp:coreProperties>
</file>

<file path=docProps/custom.xml><?xml version="1.0" encoding="utf-8"?>
<Properties xmlns="http://schemas.openxmlformats.org/officeDocument/2006/custom-properties" xmlns:vt="http://schemas.openxmlformats.org/officeDocument/2006/docPropsVTypes"/>
</file>