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Examples &amp; Case Studies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25 Communication and Meetings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22"/>
          <w:szCs w:val="22"/>
        </w:rPr>
        <w:t xml:space="preserve">Prepared by: Ahmed Elsayyad | Senior Business Analyst | Elsayyad Digital Solutions</w:t>
      </w:r>
    </w:p>
    <w:p>
      <w:pPr>
        <w:spacing w:after="12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1: Executive Email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Executive Email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Executive Email: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2: Stakeholder Update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Stakeholder Update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3: Project Status Report Reviewer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Quality assurance, document review, peer review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 Status Report draft with 15 requirements, some vague, some missing acceptance criteria.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Review findings: 3 ambiguous requirements (R-005, R-009, R-012). 2 missing acceptance criteria. 1 scope inconsistency. Priority: Fix R-005 and R-009 before stakeholder review. Ahmed Elsayyad to update by [DATE].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review with fresh eyes — ideally another BA or SME.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 document not reviewed is a risk. Budget review time into every project.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4: Meeting Agenda Analyzer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Requirements analysis, documentation, project delivery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ERP at Elsayyad Digital Solutions. Context: Meeting Agenda needs assessment.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of Meeting Agenda: Current state: [Assessment]. Gaps identified: [Gaps]. Risks: [Risks]. Recommendations: [Actions]. Owner: Ahmed Elsayyad.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Always back analysis with data. Quantify findings wherever possible.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Analysis is only valuable if it leads to action. Always end with clear next steps.</w:t>
            </w:r>
          </w:p>
        </w:tc>
      </w:tr>
    </w:tbl>
    <w:p>
      <w:pPr>
        <w:spacing w:after="60" w:before="18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Example 5: Meeting Minutes Generator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27374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Use Case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Documentation, project artifacts, deliverable creation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Input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Project: Customer portal. Requirements: User login, order tracking, invoice download.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Example Output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Meeting Minutes for Customer Portal: [Section 1: Overview]. [Section 2: Details]. [Section 3: Acceptance Criteria]. Prepared by: Ahmed Elsayyad, ahmedelsayyad006@gmail.com.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Best Practices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E9EF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Use templates but customize them for every project. Never send a generic document.</w:t>
            </w:r>
          </w:p>
        </w:tc>
      </w:tr>
      <w:tr>
        <w:tc>
          <w:tcPr>
            <w:tcW w:type="dxa" w:w="270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DDE6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18"/>
                <w:szCs w:val="18"/>
              </w:rPr>
              <w:t xml:space="preserve">Expert Tips</w:t>
            </w:r>
          </w:p>
        </w:tc>
        <w:tc>
          <w:tcPr>
            <w:tcW w:type="dxa" w:w="6660"/>
            <w:tcBorders>
              <w:top w:val="single" w:color="9DB2BF" w:sz="1"/>
              <w:left w:val="single" w:color="9DB2BF" w:sz="1"/>
              <w:bottom w:val="single" w:color="9DB2BF" w:sz="1"/>
              <w:right w:val="single" w:color="9DB2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8"/>
                <w:szCs w:val="18"/>
              </w:rPr>
              <w:t xml:space="preserve">The best documents are the ones stakeholders actually read. Keep them concise and visual.</w:t>
            </w:r>
          </w:p>
        </w:tc>
      </w:tr>
    </w:tbl>
    <w:p>
      <w:pPr>
        <w:spacing w:after="60" w:before="18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2026-06-12T12:09:30.996Z</dcterms:created>
  <dcterms:modified xsi:type="dcterms:W3CDTF">2026-06-12T12:09:30.996Z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