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Stakeholder Engagement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Project Communication &amp; Engagement Strategy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Stakeholder Engagement Plan defines the approach for identifying, analyzing, and engaging stakeholders throughout the [Project Name] lifecycle. It ensures effective communication and buy-in from all relevant parties.</w:t>
      </w:r>
    </w:p>
    <w:p>
      <w:pPr>
        <w:spacing w:after="200"/>
      </w:pPr>
    </w:p>
    <w:p>
      <w:pPr>
        <w:pStyle w:val="Heading1"/>
      </w:pPr>
      <w:r>
        <w:t xml:space="preserve">2. Stakeholder Register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1500"/>
        <w:gridCol w:w="900"/>
        <w:gridCol w:w="1000"/>
        <w:gridCol w:w="1100"/>
        <w:gridCol w:w="1380"/>
      </w:tblGrid>
      <w:tr>
        <w:trPr>
          <w:tblHeader/>
        </w:trPr>
        <w:tc>
          <w:tcPr>
            <w:tcW w:type="dxa" w:w="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11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Attitude</w:t>
            </w:r>
          </w:p>
        </w:tc>
        <w:tc>
          <w:tcPr>
            <w:tcW w:type="dxa" w:w="13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Level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S-001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S-002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S-003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</w:t>
            </w:r>
          </w:p>
        </w:tc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S-004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Lead</w:t>
            </w:r>
          </w:p>
        </w:tc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S-005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</w:t>
            </w:r>
          </w:p>
        </w:tc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Communication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1080"/>
        <w:gridCol w:w="300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Meeting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Dashboard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Updates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Stand-up / Teams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Report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Users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Notifications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Portal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Updates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[Tech Lead]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Brief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Staff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Announcements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Intranet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[Comms]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Article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Engagement Activities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Kick-off Workshop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on objectives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(half-day)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Workshops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requirements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users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(2-3 hrs)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Review Sessions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solution design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+ Business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2-3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Meeting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Preparation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for testing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users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Session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Readiness Review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go-live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Stakeholder Power/Interest Grid</w:t>
      </w:r>
    </w:p>
    <w:p>
      <w:pPr>
        <w:spacing w:after="120"/>
      </w:pPr>
      <w:r>
        <w:t xml:space="preserve">[Insert stakeholder mapping diagram here]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300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Strategy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Power / High Interest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Closely - engage regularly, key decision makers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Power / Low Interest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Satisfied - periodic updates, address concerns promptly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Power / High Interest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Informed - regular communication, leverage as advocates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Power / Low Interest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- minimal effort, general announcements only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Risk &amp; Escalation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80"/>
        <w:gridCol w:w="30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to change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engagement, address concerns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availability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in advance, use delegates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Conflicting priorities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[Stakeholder]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alignment session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2026-06-12T11:51:07.909Z</dcterms:created>
  <dcterms:modified xsi:type="dcterms:W3CDTF">2026-06-12T11:51:07.909Z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