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Roteiro de Slides — Algoritmo Cultural (CA-displayer)</w:t>
      </w:r>
    </w:p>
    <w:p>
      <w:pPr/>
      <w:r>
        <w:t xml:space="preserve">Base: ALGORITMO.md · Computação Bio-Inspirada · UFPR</w:t>
      </w:r>
    </w:p>
    <w:p>
      <w:pPr/>
      <w:r>
        <w:t xml:space="preserve">Sugestão: 14 slides, ~15–20 min. Cada slide traz </w:t>
      </w:r>
      <w:r>
        <w:rPr>
          <w:b/>
        </w:rPr>
        <w:t xml:space="preserve">mensagem central</w:t>
      </w:r>
      <w:r>
        <w:t xml:space="preserve">, </w:t>
      </w:r>
      <w:r>
        <w:rPr>
          <w:b/>
        </w:rPr>
        <w:t xml:space="preserve">conteúdo</w:t>
      </w:r>
      <w:r>
        <w:t xml:space="preserve"> e </w:t>
      </w:r>
      <w:r>
        <w:rPr>
          <w:b/>
        </w:rPr>
        <w:t xml:space="preserve">visual sugerido</w:t>
      </w:r>
      <w:r>
        <w:t xml:space="preserve">.</w:t>
      </w:r>
    </w:p>
    <w:p>
      <w:pPr>
        <w:pStyle w:val="Heading2"/>
      </w:pPr>
      <w:r>
        <w:t xml:space="preserve">Slide 1 — Título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Conteúdo:</w:t>
      </w:r>
      <w:r>
        <w:t xml:space="preserve"> Algoritmo Cultural aplicado à otimização de função contínua 2D; CA-displayer, um visualizador interativo; nome, disciplina, data.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Visual:</w:t>
      </w:r>
      <w:r>
        <w:t xml:space="preserve"> print do canvas da demo (heatmap + população) como fundo.</w:t>
      </w:r>
    </w:p>
    <w:p>
      <w:pPr>
        <w:pStyle w:val="Heading2"/>
      </w:pPr>
      <w:r>
        <w:t xml:space="preserve">Slide 2 — O que é um Algoritmo Cultural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Mensagem:</w:t>
      </w:r>
      <w:r>
        <w:t xml:space="preserve"> um algoritmo evolutivo com memória coletiva.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Conteúdo:</w:t>
      </w:r>
    </w:p>
    <w:p>
      <w:pPr>
        <w:pStyle w:val="ListParagraph"/>
        <w:numPr>
          <w:ilvl w:val="1"/>
          <w:numId w:val="4"/>
        </w:numPr>
      </w:pPr>
      <w:r>
        <w:t xml:space="preserve">Metaheurística bio-inspirada proposta por Reynolds (1994).</w:t>
      </w:r>
    </w:p>
    <w:p>
      <w:pPr>
        <w:pStyle w:val="ListParagraph"/>
        <w:numPr>
          <w:ilvl w:val="1"/>
          <w:numId w:val="4"/>
        </w:numPr>
      </w:pPr>
      <w:r>
        <w:t xml:space="preserve">Estende o algoritmo evolutivo clássico com um segundo espaço: o </w:t>
      </w:r>
      <w:r>
        <w:rPr>
          <w:b/>
        </w:rPr>
        <w:t xml:space="preserve">Espaço de Crenças</w:t>
      </w:r>
      <w:r>
        <w:t xml:space="preserve">.</w:t>
      </w:r>
    </w:p>
    <w:p>
      <w:pPr>
        <w:pStyle w:val="ListParagraph"/>
        <w:numPr>
          <w:ilvl w:val="1"/>
          <w:numId w:val="4"/>
        </w:numPr>
      </w:pPr>
      <w:r>
        <w:t xml:space="preserve">O Espaço de Crenças guarda conhecimento extraído das melhores soluções e o devolve para guiar a busca.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Visual:</w:t>
      </w:r>
      <w:r>
        <w:t xml:space="preserve"> diagrama de dois blocos (População ⇄ Espaço de Crenças) com setas de "influência" e "aceitação/atualização".</w:t>
      </w:r>
    </w:p>
    <w:p>
      <w:pPr>
        <w:pStyle w:val="Heading2"/>
      </w:pPr>
      <w:r>
        <w:t xml:space="preserve">Slide 3 — Dois componentes do CA implementado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Conteúdo: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Espaço de População:</w:t>
      </w:r>
      <w:r>
        <w:t xml:space="preserve"> 30 indivíduos explorando o domínio [-10, 10]².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Espaço de Crenças:</w:t>
      </w:r>
      <w:r>
        <w:t xml:space="preserve"> </w:t>
      </w:r>
      <w:r>
        <w:rPr>
          <w:i/>
        </w:rPr>
        <w:t xml:space="preserve">líder</w:t>
      </w:r>
      <w:r>
        <w:t xml:space="preserve"> (melhor solução histórica) + </w:t>
      </w:r>
      <w:r>
        <w:rPr>
          <w:i/>
        </w:rPr>
        <w:t xml:space="preserve">intervalo normativo</w:t>
      </w:r>
      <w:r>
        <w:t xml:space="preserve"> (bounding box dos indivíduos acima da média).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Visual:</w:t>
      </w:r>
      <w:r>
        <w:t xml:space="preserve"> tabela de duas linhas (componente × função), como no documento.</w:t>
      </w:r>
    </w:p>
    <w:p>
      <w:pPr>
        <w:pStyle w:val="Heading2"/>
      </w:pPr>
      <w:r>
        <w:t xml:space="preserve">Slide 4 — O problema a ser otimizado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Mensagem:</w:t>
      </w:r>
      <w:r>
        <w:t xml:space="preserve"> maximizar uma gaussiana 2D com pico conhecido.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Conteúdo:</w:t>
      </w:r>
    </w:p>
    <w:p>
      <w:pPr>
        <w:pStyle w:val="ListParagraph"/>
        <w:numPr>
          <w:ilvl w:val="1"/>
          <w:numId w:val="8"/>
        </w:numPr>
      </w:pPr>
      <w:r>
        <w:t xml:space="preserve">f(x, y) = exp( -((x − 3)² + (y + 4)²) / 15 )</w:t>
      </w:r>
    </w:p>
    <w:p>
      <w:pPr>
        <w:pStyle w:val="ListParagraph"/>
        <w:numPr>
          <w:ilvl w:val="1"/>
          <w:numId w:val="8"/>
        </w:numPr>
      </w:pPr>
      <w:r>
        <w:t xml:space="preserve">Máximo f(3, −4) = 1.0; valores ≈ 0 longe do pico.</w:t>
      </w:r>
    </w:p>
    <w:p>
      <w:pPr>
        <w:pStyle w:val="ListParagraph"/>
        <w:numPr>
          <w:ilvl w:val="1"/>
          <w:numId w:val="8"/>
        </w:numPr>
      </w:pPr>
      <w:r>
        <w:t xml:space="preserve">Pico conhecido permite medir a convergência visualmente.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Visual:</w:t>
      </w:r>
      <w:r>
        <w:t xml:space="preserve"> heatmap da função com crosshair no pico (print da demo).</w:t>
      </w:r>
    </w:p>
    <w:p>
      <w:pPr>
        <w:pStyle w:val="Heading2"/>
      </w:pPr>
      <w:r>
        <w:t xml:space="preserve">Slide 5 — Parâmetros fixos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Conteúdo (tabela enxuta):</w:t>
      </w:r>
    </w:p>
    <w:p>
      <w:pPr>
        <w:pStyle w:val="ListParagraph"/>
        <w:numPr>
          <w:ilvl w:val="1"/>
          <w:numId w:val="10"/>
        </w:numPr>
      </w:pPr>
      <w:r>
        <w:t xml:space="preserve">POP_SIZE = 30 · MAX_GEN = 150 · SEED = 42</w:t>
      </w:r>
    </w:p>
    <w:p>
      <w:pPr>
        <w:pStyle w:val="ListParagraph"/>
        <w:numPr>
          <w:ilvl w:val="1"/>
          <w:numId w:val="10"/>
        </w:numPr>
      </w:pPr>
      <w:r>
        <w:t xml:space="preserve">LEADER_FRACTION = 0.2 · LEADER_PULL = 0.35</w:t>
      </w:r>
    </w:p>
    <w:p>
      <w:pPr>
        <w:pStyle w:val="ListParagraph"/>
        <w:numPr>
          <w:ilvl w:val="1"/>
          <w:numId w:val="10"/>
        </w:numPr>
      </w:pPr>
      <w:r>
        <w:t xml:space="preserve">STEP_LARGE = 1.8 · STEP_SMALL = 0.3</w:t>
      </w:r>
    </w:p>
    <w:p>
      <w:pPr>
        <w:pStyle w:val="ListParagraph"/>
        <w:numPr>
          <w:ilvl w:val="1"/>
          <w:numId w:val="10"/>
        </w:numPr>
      </w:pPr>
      <w:r>
        <w:t xml:space="preserve">Domínio [-10, 10] · HILL_S = 15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Dica:</w:t>
      </w:r>
      <w:r>
        <w:t xml:space="preserve"> destacar os 4 que governam o comportamento (LEADER_FRACTION, LEADER_PULL, STEP_LARGE, STEP_SMALL); o restante é configuração do problema.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Visual:</w:t>
      </w:r>
      <w:r>
        <w:t xml:space="preserve"> print do FixedParamsPanel.</w:t>
      </w:r>
    </w:p>
    <w:p>
      <w:pPr>
        <w:pStyle w:val="Heading2"/>
      </w:pPr>
      <w:r>
        <w:t xml:space="preserve">Slide 6 — Inicialização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Mensagem:</w:t>
      </w:r>
      <w:r>
        <w:t xml:space="preserve"> tudo parte de uma população aleatória reprodutível.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Conteúdo:</w:t>
      </w:r>
    </w:p>
    <w:p>
      <w:pPr>
        <w:pStyle w:val="ListParagraph"/>
        <w:numPr>
          <w:ilvl w:val="1"/>
          <w:numId w:val="12"/>
        </w:numPr>
      </w:pPr>
      <w:r>
        <w:t xml:space="preserve">PRNG </w:t>
      </w:r>
      <w:r>
        <w:rPr>
          <w:b/>
        </w:rPr>
        <w:t xml:space="preserve">Mulberry32</w:t>
      </w:r>
      <w:r>
        <w:t xml:space="preserve"> com seed 42 no lugar de </w:t>
      </w:r>
      <w:r>
        <w:rPr>
          <w:rStyle w:val="CodeChar"/>
        </w:rPr>
        <w:t xml:space="preserve">Math.random()</w:t>
      </w:r>
      <w:r>
        <w:t xml:space="preserve"> (que não é semeável) → execuções idênticas.</w:t>
      </w:r>
    </w:p>
    <w:p>
      <w:pPr>
        <w:pStyle w:val="ListParagraph"/>
        <w:numPr>
          <w:ilvl w:val="1"/>
          <w:numId w:val="12"/>
        </w:numPr>
      </w:pPr>
      <w:r>
        <w:t xml:space="preserve">30 indivíduos {x, y, fitness} uniformes em [-10, 10]².</w:t>
      </w:r>
    </w:p>
    <w:p>
      <w:pPr>
        <w:pStyle w:val="ListParagraph"/>
        <w:numPr>
          <w:ilvl w:val="1"/>
          <w:numId w:val="12"/>
        </w:numPr>
      </w:pPr>
      <w:r>
        <w:t xml:space="preserve">Líder inicial = melhor indivíduo; intervalo normativo inicial = bounding box de </w:t>
      </w:r>
      <w:r>
        <w:rPr>
          <w:b/>
        </w:rPr>
        <w:t xml:space="preserve">toda</w:t>
      </w:r>
      <w:r>
        <w:t xml:space="preserve"> a população.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Visual:</w:t>
      </w:r>
      <w:r>
        <w:t xml:space="preserve"> canvas da geração 0 (pontos espalhados, retângulo cobrindo quase tudo, estrela do líder).</w:t>
      </w:r>
    </w:p>
    <w:p>
      <w:pPr>
        <w:pStyle w:val="Heading2"/>
      </w:pPr>
      <w:r>
        <w:t xml:space="preserve">Slide 7 — Espaço de Crenças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Conteúdo:</w:t>
      </w:r>
    </w:p>
    <w:p>
      <w:pPr>
        <w:pStyle w:val="ListParagraph"/>
        <w:numPr>
          <w:ilvl w:val="1"/>
          <w:numId w:val="14"/>
        </w:numPr>
      </w:pPr>
      <w:r>
        <w:rPr>
          <w:rStyle w:val="CodeChar"/>
        </w:rPr>
        <w:t xml:space="preserve">leader</w:t>
      </w:r>
      <w:r>
        <w:t xml:space="preserve">: melhor indivíduo já visto, </w:t>
      </w:r>
      <w:r>
        <w:rPr>
          <w:b/>
        </w:rPr>
        <w:t xml:space="preserve">nunca piora</w:t>
      </w:r>
      <w:r>
        <w:t xml:space="preserve">.</w:t>
      </w:r>
    </w:p>
    <w:p>
      <w:pPr>
        <w:pStyle w:val="ListParagraph"/>
        <w:numPr>
          <w:ilvl w:val="1"/>
          <w:numId w:val="14"/>
        </w:numPr>
      </w:pPr>
      <w:r>
        <w:rPr>
          <w:rStyle w:val="CodeChar"/>
        </w:rPr>
        <w:t xml:space="preserve">normativeRange</w:t>
      </w:r>
      <w:r>
        <w:t xml:space="preserve"> (x e y): faixa dos indivíduos acima da média; </w:t>
      </w:r>
      <w:r>
        <w:rPr>
          <w:b/>
        </w:rPr>
        <w:t xml:space="preserve">contrai</w:t>
      </w:r>
      <w:r>
        <w:t xml:space="preserve"> ao longo das gerações.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Visual:</w:t>
      </w:r>
      <w:r>
        <w:t xml:space="preserve"> canvas com retângulo tracejado e estrela dourada anotados.</w:t>
      </w:r>
    </w:p>
    <w:p>
      <w:pPr>
        <w:pStyle w:val="Heading2"/>
      </w:pPr>
      <w:r>
        <w:t xml:space="preserve">Slide 8 — Visão geral do loop evolutivo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Mensagem:</w:t>
      </w:r>
      <w:r>
        <w:t xml:space="preserve"> a cada geração, mutar guiado pelas crenças e depois atualizar as crenças.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Conteúdo (4 etapas por geração, gen = 1…150):</w:t>
      </w:r>
    </w:p>
    <w:p>
      <w:pPr>
        <w:pStyle w:val="ListParagraph"/>
        <w:numPr>
          <w:ilvl w:val="1"/>
          <w:numId w:val="16"/>
        </w:numPr>
      </w:pPr>
      <w:r>
        <w:t xml:space="preserve">Calcular o passo grande (decaimento).</w:t>
      </w:r>
    </w:p>
    <w:p>
      <w:pPr>
        <w:pStyle w:val="ListParagraph"/>
        <w:numPr>
          <w:ilvl w:val="1"/>
          <w:numId w:val="16"/>
        </w:numPr>
      </w:pPr>
      <w:r>
        <w:t xml:space="preserve">Mutar a população guiada pelo Espaço de Crenças.</w:t>
      </w:r>
    </w:p>
    <w:p>
      <w:pPr>
        <w:pStyle w:val="ListParagraph"/>
        <w:numPr>
          <w:ilvl w:val="1"/>
          <w:numId w:val="16"/>
        </w:numPr>
      </w:pPr>
      <w:r>
        <w:t xml:space="preserve">Atualizar o Espaço de Crenças.</w:t>
      </w:r>
    </w:p>
    <w:p>
      <w:pPr>
        <w:pStyle w:val="ListParagraph"/>
        <w:numPr>
          <w:ilvl w:val="1"/>
          <w:numId w:val="16"/>
        </w:numPr>
      </w:pPr>
      <w:r>
        <w:t xml:space="preserve">Emitir o snapshot da geração.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Visual:</w:t>
      </w:r>
      <w:r>
        <w:t xml:space="preserve"> </w:t>
      </w:r>
      <w:r>
        <w:rPr>
          <w:b/>
        </w:rPr>
        <w:t xml:space="preserve">fluxograma circular</w:t>
      </w:r>
      <w:r>
        <w:t xml:space="preserve"> (principal slide visual da apresentação).</w:t>
      </w:r>
    </w:p>
    <w:p>
      <w:pPr>
        <w:pStyle w:val="Heading2"/>
      </w:pPr>
      <w:r>
        <w:t xml:space="preserve">Slide 9 — Mutação (1/2): influência situacional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Conteúdo:</w:t>
      </w:r>
    </w:p>
    <w:p>
      <w:pPr>
        <w:pStyle w:val="ListParagraph"/>
        <w:numPr>
          <w:ilvl w:val="1"/>
          <w:numId w:val="18"/>
        </w:numPr>
      </w:pPr>
      <w:r>
        <w:t xml:space="preserve">≈20% da população (sorteada) é atraída ao </w:t>
      </w:r>
      <w:r>
        <w:rPr>
          <w:b/>
        </w:rPr>
        <w:t xml:space="preserve">líder</w:t>
      </w:r>
      <w:r>
        <w:t xml:space="preserve"> (≈ 6 de 30 indivíduos).</w:t>
      </w:r>
    </w:p>
    <w:p>
      <w:pPr>
        <w:pStyle w:val="ListParagraph"/>
        <w:numPr>
          <w:ilvl w:val="1"/>
          <w:numId w:val="18"/>
        </w:numPr>
      </w:pPr>
      <w:r>
        <w:t xml:space="preserve">x' = clamp( x + 0.35·(líder.x − x) + 0.3·ruído ); idem para y.</w:t>
      </w:r>
    </w:p>
    <w:p>
      <w:pPr>
        <w:pStyle w:val="ListParagraph"/>
        <w:numPr>
          <w:ilvl w:val="1"/>
          <w:numId w:val="18"/>
        </w:numPr>
      </w:pPr>
      <w:r>
        <w:t xml:space="preserve">Efeito: intensifica a exploração em torno da melhor solução.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Visual:</w:t>
      </w:r>
      <w:r>
        <w:t xml:space="preserve"> setas de alguns pontos em direção à estrela do líder.</w:t>
      </w:r>
    </w:p>
    <w:p>
      <w:pPr>
        <w:pStyle w:val="Heading2"/>
      </w:pPr>
      <w:r>
        <w:t xml:space="preserve">Slide 10 — Mutação (2/2): influência normativa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Conteúdo:</w:t>
      </w:r>
      <w:r>
        <w:t xml:space="preserve"> os outros ≈80% sofrem mutação gaussiana por coordenada.</w:t>
      </w:r>
    </w:p>
    <w:p>
      <w:pPr>
        <w:pStyle w:val="ListParagraph"/>
        <w:numPr>
          <w:ilvl w:val="1"/>
          <w:numId w:val="20"/>
        </w:numPr>
      </w:pPr>
      <w:r>
        <w:rPr>
          <w:b/>
        </w:rPr>
        <w:t xml:space="preserve">Dentro</w:t>
      </w:r>
      <w:r>
        <w:t xml:space="preserve"> do intervalo normativo: σ = 0.3 → refinamento local.</w:t>
      </w:r>
    </w:p>
    <w:p>
      <w:pPr>
        <w:pStyle w:val="ListParagraph"/>
        <w:numPr>
          <w:ilvl w:val="1"/>
          <w:numId w:val="20"/>
        </w:numPr>
      </w:pPr>
      <w:r>
        <w:rPr>
          <w:b/>
        </w:rPr>
        <w:t xml:space="preserve">Fora:</w:t>
      </w:r>
      <w:r>
        <w:t xml:space="preserve"> σ = passo grande (1.8 → 1.08) + viés de 15% em direção ao centro do intervalo → exploração ampla com retorno à região boa.</w:t>
      </w:r>
    </w:p>
    <w:p>
      <w:pPr>
        <w:pStyle w:val="ListParagraph"/>
        <w:numPr>
          <w:ilvl w:val="1"/>
          <w:numId w:val="20"/>
        </w:numPr>
      </w:pPr>
      <w:r>
        <w:t xml:space="preserve">Ruído gaussiano gerado por Box-Muller (uniformes → N(0,1)).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Visual:</w:t>
      </w:r>
      <w:r>
        <w:t xml:space="preserve"> tabela de duas linhas (situação × sigma × efeito) + esquema de ponto dentro/fora do retângulo.</w:t>
      </w:r>
    </w:p>
    <w:p>
      <w:pPr>
        <w:pStyle w:val="Heading2"/>
      </w:pPr>
      <w:r>
        <w:t xml:space="preserve">Slide 11 — Decaimento adaptativo do passo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Conteúdo:</w:t>
      </w:r>
    </w:p>
    <w:p>
      <w:pPr>
        <w:pStyle w:val="ListParagraph"/>
        <w:numPr>
          <w:ilvl w:val="1"/>
          <w:numId w:val="22"/>
        </w:numPr>
      </w:pPr>
      <w:r>
        <w:t xml:space="preserve">largeStep = 1.8 × (1 − 0.4 × gen/150).</w:t>
      </w:r>
    </w:p>
    <w:p>
      <w:pPr>
        <w:pStyle w:val="ListParagraph"/>
        <w:numPr>
          <w:ilvl w:val="1"/>
          <w:numId w:val="22"/>
        </w:numPr>
      </w:pPr>
      <w:r>
        <w:t xml:space="preserve">Cai linearmente de 1.8 até 1.08 na última geração.</w:t>
      </w:r>
    </w:p>
    <w:p>
      <w:pPr>
        <w:pStyle w:val="ListParagraph"/>
        <w:numPr>
          <w:ilvl w:val="1"/>
          <w:numId w:val="22"/>
        </w:numPr>
      </w:pPr>
      <w:r>
        <w:t xml:space="preserve">Exploração no início, refinamento no final.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Visual:</w:t>
      </w:r>
      <w:r>
        <w:t xml:space="preserve"> gráfico de linha de largeStep × geração (dá para gerar com 2 pontos: (0, 1.8) e (150, 1.08)).</w:t>
      </w:r>
    </w:p>
    <w:p>
      <w:pPr>
        <w:pStyle w:val="Heading2"/>
      </w:pPr>
      <w:r>
        <w:t xml:space="preserve">Slide 12 — Atualização do Espaço de Crenças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Conteúdo:</w:t>
      </w:r>
    </w:p>
    <w:p>
      <w:pPr>
        <w:pStyle w:val="ListParagraph"/>
        <w:numPr>
          <w:ilvl w:val="1"/>
          <w:numId w:val="24"/>
        </w:numPr>
      </w:pPr>
      <w:r>
        <w:rPr>
          <w:b/>
        </w:rPr>
        <w:t xml:space="preserve">Líder:</w:t>
      </w:r>
      <w:r>
        <w:t xml:space="preserve"> troca apenas se o melhor da geração superar o atual.</w:t>
      </w:r>
    </w:p>
    <w:p>
      <w:pPr>
        <w:pStyle w:val="ListParagraph"/>
        <w:numPr>
          <w:ilvl w:val="1"/>
          <w:numId w:val="24"/>
        </w:numPr>
      </w:pPr>
      <w:r>
        <w:rPr>
          <w:b/>
        </w:rPr>
        <w:t xml:space="preserve">Intervalo normativo:</w:t>
      </w:r>
      <w:r>
        <w:t xml:space="preserve"> bounding box só dos indivíduos com fitness ≥ média (fallback: população inteira se vazio).</w:t>
      </w:r>
    </w:p>
    <w:p>
      <w:pPr>
        <w:pStyle w:val="ListParagraph"/>
        <w:numPr>
          <w:ilvl w:val="1"/>
          <w:numId w:val="24"/>
        </w:numPr>
      </w:pPr>
      <w:r>
        <w:rPr>
          <w:b/>
        </w:rPr>
        <w:t xml:space="preserve">Por que acima da média?</w:t>
      </w:r>
      <w:r>
        <w:t xml:space="preserve"> o intervalo representa a região de alta qualidade; ao contrair em direção ao pico, induz convergência.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Visual:</w:t>
      </w:r>
      <w:r>
        <w:t xml:space="preserve"> sequência de 3 snapshots (gen 0, ~50, 150) mostrando o retângulo encolhendo.</w:t>
      </w:r>
    </w:p>
    <w:p>
      <w:pPr>
        <w:pStyle w:val="Heading2"/>
      </w:pPr>
      <w:r>
        <w:t xml:space="preserve">Slide 13 — Pseudocódigo consolidado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Conteúdo:</w:t>
      </w:r>
      <w:r>
        <w:t xml:space="preserve"> pseudocódigo da seção 7 do documento, dividido em três blocos coloridos: Inicialização · Loop com mutação (situacional/normativa) · Atualização das crenças.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Dica:</w:t>
      </w:r>
      <w:r>
        <w:t xml:space="preserve"> se não couber em um slide, dividir em dois (inicialização + loop / atualização).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Visual:</w:t>
      </w:r>
      <w:r>
        <w:t xml:space="preserve"> código com destaque por bloco.</w:t>
      </w:r>
    </w:p>
    <w:p>
      <w:pPr>
        <w:pStyle w:val="Heading2"/>
      </w:pPr>
      <w:r>
        <w:t xml:space="preserve">Slide 14 — Demo e visualização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Conteúdo:</w:t>
      </w:r>
    </w:p>
    <w:p>
      <w:pPr>
        <w:pStyle w:val="ListParagraph"/>
        <w:numPr>
          <w:ilvl w:val="1"/>
          <w:numId w:val="27"/>
        </w:numPr>
      </w:pPr>
      <w:r>
        <w:t xml:space="preserve">Todos os 151 snapshots (gerações 0–150) são pré-computados; a UI só indexa </w:t>
      </w:r>
      <w:r>
        <w:rPr>
          <w:rStyle w:val="CodeChar"/>
        </w:rPr>
        <w:t xml:space="preserve">snapshots[currentGen]</w:t>
      </w:r>
      <w:r>
        <w:t xml:space="preserve"> (sem recálculo na animação).</w:t>
      </w:r>
    </w:p>
    <w:p>
      <w:pPr>
        <w:pStyle w:val="ListParagraph"/>
        <w:numPr>
          <w:ilvl w:val="1"/>
          <w:numId w:val="27"/>
        </w:numPr>
      </w:pPr>
      <w:r>
        <w:t xml:space="preserve">Canvas: heatmap, população, intervalo normativo (tracejado), líder (estrela), pico real (crosshair).</w:t>
      </w:r>
    </w:p>
    <w:p>
      <w:pPr>
        <w:pStyle w:val="ListParagraph"/>
        <w:numPr>
          <w:ilvl w:val="1"/>
          <w:numId w:val="27"/>
        </w:numPr>
      </w:pPr>
      <w:r>
        <w:t xml:space="preserve">Gráfico Best / Avg / Worst por geração.</w:t>
      </w:r>
    </w:p>
    <w:p>
      <w:pPr>
        <w:pStyle w:val="ListParagraph"/>
        <w:numPr>
          <w:ilvl w:val="1"/>
          <w:numId w:val="27"/>
        </w:numPr>
      </w:pPr>
      <w:r>
        <w:t xml:space="preserve">Controles: Play / Pause / Reset.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Visual:</w:t>
      </w:r>
      <w:r>
        <w:t xml:space="preserve"> demo ao vivo ou vídeo curto. Este é o momento de mostrar os resultados reais (fitness final, geração em que o líder se aproxima do pico), que o documento não traz; extrair da demo.</w:t>
      </w:r>
    </w:p>
    <w:p>
      <w:pPr>
        <w:pStyle w:val="Heading2"/>
      </w:pPr>
      <w:r>
        <w:t xml:space="preserve">Slide 15 — Arquitetura (opcional / apêndice)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Conteúdo:</w:t>
      </w:r>
    </w:p>
    <w:p>
      <w:pPr>
        <w:pStyle w:val="ListParagraph"/>
        <w:numPr>
          <w:ilvl w:val="1"/>
          <w:numId w:val="29"/>
        </w:numPr>
      </w:pPr>
      <w:r>
        <w:t xml:space="preserve">Motor puro (</w:t>
      </w:r>
      <w:r>
        <w:rPr>
          <w:rStyle w:val="CodeChar"/>
        </w:rPr>
        <w:t xml:space="preserve">ca-engine/</w:t>
      </w:r>
      <w:r>
        <w:t xml:space="preserve">) separado da UI: types, seededRandom, objectiveFunction, beliefSpace, mutation, runCA.</w:t>
      </w:r>
    </w:p>
    <w:p>
      <w:pPr>
        <w:pStyle w:val="ListParagraph"/>
        <w:numPr>
          <w:ilvl w:val="1"/>
          <w:numId w:val="29"/>
        </w:numPr>
      </w:pPr>
      <w:r>
        <w:rPr>
          <w:rStyle w:val="CodeChar"/>
        </w:rPr>
        <w:t xml:space="preserve">store.ts</w:t>
      </w:r>
      <w:r>
        <w:t xml:space="preserve"> (Zustand) consome o </w:t>
      </w:r>
      <w:r>
        <w:rPr>
          <w:rStyle w:val="CodeChar"/>
        </w:rPr>
        <w:t xml:space="preserve">runCA</w:t>
      </w:r>
      <w:r>
        <w:t xml:space="preserve"> e expõe o estado; </w:t>
      </w:r>
      <w:r>
        <w:rPr>
          <w:rStyle w:val="CodeChar"/>
        </w:rPr>
        <w:t xml:space="preserve">demo/page.tsx</w:t>
      </w:r>
      <w:r>
        <w:t xml:space="preserve"> e os componentes só visualizam.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Visual:</w:t>
      </w:r>
      <w:r>
        <w:t xml:space="preserve"> diagrama de dependências (types → módulos → runCA → store → UI) ou o fluxo de dados da seção 6.</w:t>
      </w:r>
    </w:p>
    <w:p>
      <w:pPr>
        <w:pStyle w:val="Heading2"/>
      </w:pPr>
      <w:r>
        <w:t xml:space="preserve">Slide 16 — Conclusões e referências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Conteúdo:</w:t>
      </w:r>
    </w:p>
    <w:p>
      <w:pPr>
        <w:pStyle w:val="ListParagraph"/>
        <w:numPr>
          <w:ilvl w:val="1"/>
          <w:numId w:val="31"/>
        </w:numPr>
      </w:pPr>
      <w:r>
        <w:t xml:space="preserve">O conhecimento acumulado (líder + intervalo normativo) guia a mutação: exploração ampla no início, refinamento local depois.</w:t>
      </w:r>
    </w:p>
    <w:p>
      <w:pPr>
        <w:pStyle w:val="ListParagraph"/>
        <w:numPr>
          <w:ilvl w:val="1"/>
          <w:numId w:val="31"/>
        </w:numPr>
      </w:pPr>
      <w:r>
        <w:t xml:space="preserve">Reprodutibilidade garantida pelo PRNG semeado.</w:t>
      </w:r>
    </w:p>
    <w:p>
      <w:pPr>
        <w:pStyle w:val="ListParagraph"/>
        <w:numPr>
          <w:ilvl w:val="1"/>
          <w:numId w:val="31"/>
        </w:numPr>
      </w:pPr>
      <w:r>
        <w:t xml:space="preserve">Referências: Reynolds (1994); Reynolds (1999); Box &amp; Muller (1958); Mulberry32 (Tommy Ettinger).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Visual:</w:t>
      </w:r>
      <w:r>
        <w:t xml:space="preserve"> frase de fechamento + lista de referências em fonte pequena.</w:t>
      </w:r>
    </w:p>
    <w:p>
      <w:pPr>
        <w:pStyle w:val="Heading2"/>
      </w:pPr>
      <w:r>
        <w:t xml:space="preserve">Observações para a construção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Inconsistência no documento-fonte:</w:t>
      </w:r>
      <w:r>
        <w:t xml:space="preserve"> na tabela do Passo 3, o intervalo normativo é descrito como "indivíduos acima da média", mas o código de </w:t>
      </w:r>
      <w:r>
        <w:rPr>
          <w:rStyle w:val="CodeChar"/>
        </w:rPr>
        <w:t xml:space="preserve">initBeliefSpace</w:t>
      </w:r>
      <w:r>
        <w:t xml:space="preserve"> usa a população </w:t>
      </w:r>
      <w:r>
        <w:rPr>
          <w:b/>
        </w:rPr>
        <w:t xml:space="preserve">inteira</w:t>
      </w:r>
      <w:r>
        <w:t xml:space="preserve">; só o </w:t>
      </w:r>
      <w:r>
        <w:rPr>
          <w:rStyle w:val="CodeChar"/>
        </w:rPr>
        <w:t xml:space="preserve">updateBeliefSpace</w:t>
      </w:r>
      <w:r>
        <w:t xml:space="preserve"> filtra por média. O roteiro segue o código (Slides 6 e 12). Vale manter essa distinção na fala.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Se precisar encurtar:</w:t>
      </w:r>
      <w:r>
        <w:t xml:space="preserve"> funda os slides 9–10 em um só, e retire os slides 5 e 15.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Se precisar de mais tempo:</w:t>
      </w:r>
      <w:r>
        <w:t xml:space="preserve"> abra um slide extra para Box-Muller e outro para Mulberry32.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1">
      <w:startOverride w:val="1"/>
    </w:lvlOverride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Roteiro de Slides — Algoritmo Cultural (CA-displayer)</dc:title>
  <dc:description>Claude Docs node/4a510288-975f@1 docx-w6</dc:description>
  <cp:revision>1</cp:revision>
</cp:coreProperties>
</file>