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left"/>
      </w:pPr>
      <w:r>
        <w:t>CSE 3251: Web Engineering</w:t>
      </w:r>
    </w:p>
    <w:tbl>
      <w:tblPr>
        <w:tblW w:type="auto" w:w="0"/>
        <w:jc w:val="center"/>
        <w:tblLayout w:type="autofit"/>
        <w:tblLook w:firstColumn="1" w:firstRow="1" w:lastColumn="0" w:lastRow="0" w:noHBand="0" w:noVBand="1" w:val="04A0"/>
        <w:tblBorders>
          <w:top w:val="single" w:sz="8" w:color="CFCFCF"/>
          <w:left w:val="single" w:sz="8" w:color="CFCFCF"/>
          <w:bottom w:val="single" w:sz="8" w:color="CFCFCF"/>
          <w:right w:val="single" w:sz="8" w:color="CFCFCF"/>
          <w:insideH w:val="single" w:sz="8" w:color="CFCFCF"/>
          <w:insideV w:val="single" w:sz="8" w:color="CFCFCF"/>
        </w:tblBorders>
      </w:tblPr>
      <w:tblGrid>
        <w:gridCol w:w="5213"/>
        <w:gridCol w:w="5213"/>
      </w:tblGrid>
      <w:tr>
        <w:tc>
          <w:tcPr>
            <w:tcW w:type="dxa" w:w="5213"/>
            <w:vAlign w:val="top"/>
            <w:tcMar>
              <w:top w:w="80" w:type="dxa"/>
              <w:start w:w="100" w:type="dxa"/>
              <w:bottom w:w="80" w:type="dxa"/>
              <w:end w:w="100" w:type="dxa"/>
            </w:tcMar>
            <w:shd w:fill="F5F5F5"/>
          </w:tcPr>
          <w:p>
            <w:pPr>
              <w:spacing w:after="0"/>
            </w:pPr>
            <w:r>
              <w:rPr>
                <w:rFonts w:ascii="Arial" w:hAnsi="Arial"/>
                <w:b/>
                <w:sz w:val="20"/>
              </w:rPr>
            </w:r>
          </w:p>
        </w:tc>
        <w:tc>
          <w:tcPr>
            <w:tcW w:type="dxa" w:w="5213"/>
            <w:vAlign w:val="top"/>
            <w:tcMar>
              <w:top w:w="80" w:type="dxa"/>
              <w:start w:w="100" w:type="dxa"/>
              <w:bottom w:w="80" w:type="dxa"/>
              <w:end w:w="100" w:type="dxa"/>
            </w:tcMar>
            <w:shd w:fill="F5F5F5"/>
          </w:tcPr>
          <w:p>
            <w:pPr>
              <w:spacing w:after="0"/>
            </w:pPr>
            <w:r>
              <w:rPr>
                <w:rFonts w:ascii="Arial" w:hAnsi="Arial"/>
                <w:b/>
                <w:sz w:val="20"/>
              </w:rPr>
            </w:r>
          </w:p>
        </w:tc>
      </w:tr>
      <w:tr>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b/>
                <w:sz w:val="20"/>
              </w:rPr>
              <w:t>Credits</w:t>
            </w:r>
          </w:p>
        </w:tc>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sz w:val="20"/>
              </w:rPr>
              <w:t>3</w:t>
            </w:r>
          </w:p>
        </w:tc>
      </w:tr>
      <w:tr>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b/>
                <w:sz w:val="20"/>
              </w:rPr>
              <w:t>Contact Hours</w:t>
            </w:r>
          </w:p>
        </w:tc>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sz w:val="20"/>
              </w:rPr>
              <w:t>42</w:t>
            </w:r>
          </w:p>
        </w:tc>
      </w:tr>
      <w:tr>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b/>
                <w:sz w:val="20"/>
              </w:rPr>
              <w:t>Year</w:t>
            </w:r>
          </w:p>
        </w:tc>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sz w:val="20"/>
              </w:rPr>
              <w:t>Third</w:t>
            </w:r>
          </w:p>
        </w:tc>
      </w:tr>
      <w:tr>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b/>
                <w:sz w:val="20"/>
              </w:rPr>
              <w:t>Semester</w:t>
            </w:r>
          </w:p>
        </w:tc>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sz w:val="20"/>
              </w:rPr>
              <w:t>Second</w:t>
            </w:r>
          </w:p>
        </w:tc>
      </w:tr>
      <w:tr>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b/>
                <w:sz w:val="20"/>
              </w:rPr>
              <w:t>Prerequisites</w:t>
            </w:r>
          </w:p>
        </w:tc>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sz w:val="20"/>
              </w:rPr>
              <w:t>CSE 2232: User Interface Development Lab  ·  CSEXXXX: Computer Networks</w:t>
            </w:r>
          </w:p>
        </w:tc>
      </w:tr>
      <w:tr>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b/>
                <w:sz w:val="20"/>
              </w:rPr>
              <w:t>Course Type</w:t>
            </w:r>
          </w:p>
        </w:tc>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sz w:val="20"/>
              </w:rPr>
              <w:t>☒ Theory    ☐ Laboratory work    ☐ Project work    ☐ Viva Voce</w:t>
            </w:r>
          </w:p>
        </w:tc>
      </w:tr>
    </w:tbl>
    <w:p/>
    <w:p>
      <w:pPr>
        <w:pStyle w:val="BodyTextCustom"/>
      </w:pPr>
    </w:p>
    <w:p>
      <w:pPr>
        <w:pStyle w:val="CustomHeading1"/>
      </w:pPr>
      <w:r>
        <w:t>Motivation</w:t>
      </w:r>
    </w:p>
    <w:p>
      <w:pPr>
        <w:pStyle w:val="BodyTextCustom"/>
      </w:pPr>
      <w:r>
        <w:t>Web applications are now a dominant software platform, serving users across devices and networks. Developing secure, scalable, and maintainable web systems requires a disciplined engineering approach. This course introduces that approach by combining foundational web engineering concepts with modern topics such as API design, security, scalability, containerisation, and CI/CD.</w:t>
      </w:r>
    </w:p>
    <w:p>
      <w:pPr>
        <w:pStyle w:val="CustomHeading1"/>
      </w:pPr>
      <w:r>
        <w:t>Course Objective</w:t>
      </w:r>
    </w:p>
    <w:p>
      <w:pPr>
        <w:pStyle w:val="BodyTextCustom"/>
      </w:pPr>
      <w:r>
        <w:t>This course introduces Web Engineering as a systematic process for designing, analysing, and evaluating modern web applications. Students will study foundational web engineering concepts, REST API design, modern web architecture, web security, testing, scalability, containerisation, and CI/CD practices. The companion lab course (CSE 3252) provides hands-on implementation using Express.js, AdonisJS, and/or Laravel.</w:t>
      </w:r>
    </w:p>
    <w:p>
      <w:pPr>
        <w:pStyle w:val="BodyTextCustom"/>
      </w:pPr>
    </w:p>
    <w:p>
      <w:pPr>
        <w:pStyle w:val="CustomHeading1"/>
      </w:pPr>
      <w:r>
        <w:t>Course Outcomes (COs), Program Outcomes (POs) and Assessment</w:t>
      </w:r>
    </w:p>
    <w:tbl>
      <w:tblPr>
        <w:tblW w:type="auto" w:w="0"/>
        <w:jc w:val="center"/>
        <w:tblLayout w:type="autofit"/>
        <w:tblLook w:firstColumn="1" w:firstRow="1" w:lastColumn="0" w:lastRow="0" w:noHBand="0" w:noVBand="1" w:val="04A0"/>
        <w:tblBorders>
          <w:top w:val="single" w:sz="8" w:color="CFCFCF"/>
          <w:left w:val="single" w:sz="8" w:color="CFCFCF"/>
          <w:bottom w:val="single" w:sz="8" w:color="CFCFCF"/>
          <w:right w:val="single" w:sz="8" w:color="CFCFCF"/>
          <w:insideH w:val="single" w:sz="8" w:color="CFCFCF"/>
          <w:insideV w:val="single" w:sz="8" w:color="CFCFCF"/>
        </w:tblBorders>
      </w:tblPr>
      <w:tblGrid>
        <w:gridCol w:w="1738"/>
        <w:gridCol w:w="1738"/>
        <w:gridCol w:w="1738"/>
        <w:gridCol w:w="1738"/>
        <w:gridCol w:w="1738"/>
        <w:gridCol w:w="1738"/>
      </w:tblGrid>
      <w:tr>
        <w:tc>
          <w:tcPr>
            <w:tcW w:type="dxa" w:w="1738"/>
            <w:vAlign w:val="top"/>
            <w:tcMar>
              <w:top w:w="80" w:type="dxa"/>
              <w:start w:w="100" w:type="dxa"/>
              <w:bottom w:w="80" w:type="dxa"/>
              <w:end w:w="100" w:type="dxa"/>
            </w:tcMar>
            <w:shd w:fill="F5F5F5"/>
          </w:tcPr>
          <w:p>
            <w:pPr>
              <w:spacing w:after="0"/>
            </w:pPr>
            <w:r>
              <w:rPr>
                <w:rFonts w:ascii="Arial" w:hAnsi="Arial"/>
                <w:b/>
                <w:sz w:val="20"/>
              </w:rPr>
            </w:r>
            <w:r>
              <w:rPr>
                <w:rFonts w:ascii="Arial" w:hAnsi="Arial"/>
                <w:b/>
                <w:sz w:val="20"/>
              </w:rPr>
              <w:t>CO No.</w:t>
            </w:r>
          </w:p>
        </w:tc>
        <w:tc>
          <w:tcPr>
            <w:tcW w:type="dxa" w:w="1738"/>
            <w:vAlign w:val="top"/>
            <w:tcMar>
              <w:top w:w="80" w:type="dxa"/>
              <w:start w:w="100" w:type="dxa"/>
              <w:bottom w:w="80" w:type="dxa"/>
              <w:end w:w="100" w:type="dxa"/>
            </w:tcMar>
            <w:shd w:fill="F5F5F5"/>
          </w:tcPr>
          <w:p>
            <w:pPr>
              <w:spacing w:after="0"/>
            </w:pPr>
            <w:r>
              <w:rPr>
                <w:rFonts w:ascii="Arial" w:hAnsi="Arial"/>
                <w:b/>
                <w:sz w:val="20"/>
              </w:rPr>
            </w:r>
            <w:r>
              <w:rPr>
                <w:rFonts w:ascii="Arial" w:hAnsi="Arial"/>
                <w:b/>
                <w:sz w:val="20"/>
              </w:rPr>
              <w:t>CO Statement</w:t>
            </w:r>
          </w:p>
        </w:tc>
        <w:tc>
          <w:tcPr>
            <w:tcW w:type="dxa" w:w="1738"/>
            <w:vAlign w:val="top"/>
            <w:tcMar>
              <w:top w:w="80" w:type="dxa"/>
              <w:start w:w="100" w:type="dxa"/>
              <w:bottom w:w="80" w:type="dxa"/>
              <w:end w:w="100" w:type="dxa"/>
            </w:tcMar>
            <w:shd w:fill="F5F5F5"/>
          </w:tcPr>
          <w:p>
            <w:pPr>
              <w:spacing w:after="0"/>
            </w:pPr>
            <w:r>
              <w:rPr>
                <w:rFonts w:ascii="Arial" w:hAnsi="Arial"/>
                <w:b/>
                <w:sz w:val="20"/>
              </w:rPr>
            </w:r>
            <w:r>
              <w:rPr>
                <w:rFonts w:ascii="Arial" w:hAnsi="Arial"/>
                <w:b/>
                <w:sz w:val="20"/>
              </w:rPr>
              <w:t>Corresponding PO</w:t>
            </w:r>
          </w:p>
        </w:tc>
        <w:tc>
          <w:tcPr>
            <w:tcW w:type="dxa" w:w="1738"/>
            <w:vAlign w:val="top"/>
            <w:tcMar>
              <w:top w:w="80" w:type="dxa"/>
              <w:start w:w="100" w:type="dxa"/>
              <w:bottom w:w="80" w:type="dxa"/>
              <w:end w:w="100" w:type="dxa"/>
            </w:tcMar>
            <w:shd w:fill="F5F5F5"/>
          </w:tcPr>
          <w:p>
            <w:pPr>
              <w:spacing w:after="0"/>
            </w:pPr>
            <w:r>
              <w:rPr>
                <w:rFonts w:ascii="Arial" w:hAnsi="Arial"/>
                <w:b/>
                <w:sz w:val="20"/>
              </w:rPr>
            </w:r>
            <w:r>
              <w:rPr>
                <w:rFonts w:ascii="Arial" w:hAnsi="Arial"/>
                <w:b/>
                <w:sz w:val="20"/>
              </w:rPr>
              <w:t>Domain / Level of Learning Taxonomy</w:t>
            </w:r>
          </w:p>
        </w:tc>
        <w:tc>
          <w:tcPr>
            <w:tcW w:type="dxa" w:w="1738"/>
            <w:vAlign w:val="top"/>
            <w:tcMar>
              <w:top w:w="80" w:type="dxa"/>
              <w:start w:w="100" w:type="dxa"/>
              <w:bottom w:w="80" w:type="dxa"/>
              <w:end w:w="100" w:type="dxa"/>
            </w:tcMar>
            <w:shd w:fill="F5F5F5"/>
          </w:tcPr>
          <w:p>
            <w:pPr>
              <w:spacing w:after="0"/>
            </w:pPr>
            <w:r>
              <w:rPr>
                <w:rFonts w:ascii="Arial" w:hAnsi="Arial"/>
                <w:b/>
                <w:sz w:val="20"/>
              </w:rPr>
            </w:r>
            <w:r>
              <w:rPr>
                <w:rFonts w:ascii="Arial" w:hAnsi="Arial"/>
                <w:b/>
                <w:sz w:val="20"/>
              </w:rPr>
              <w:t>Delivery Methods &amp; Activities</w:t>
            </w:r>
          </w:p>
        </w:tc>
        <w:tc>
          <w:tcPr>
            <w:tcW w:type="dxa" w:w="1738"/>
            <w:vAlign w:val="top"/>
            <w:tcMar>
              <w:top w:w="80" w:type="dxa"/>
              <w:start w:w="100" w:type="dxa"/>
              <w:bottom w:w="80" w:type="dxa"/>
              <w:end w:w="100" w:type="dxa"/>
            </w:tcMar>
            <w:shd w:fill="F5F5F5"/>
          </w:tcPr>
          <w:p>
            <w:pPr>
              <w:spacing w:after="0"/>
            </w:pPr>
            <w:r>
              <w:rPr>
                <w:rFonts w:ascii="Arial" w:hAnsi="Arial"/>
                <w:b/>
                <w:sz w:val="20"/>
              </w:rPr>
            </w:r>
            <w:r>
              <w:rPr>
                <w:rFonts w:ascii="Arial" w:hAnsi="Arial"/>
                <w:b/>
                <w:sz w:val="20"/>
              </w:rPr>
              <w:t>Assessment Tools</w:t>
            </w:r>
          </w:p>
        </w:tc>
      </w:tr>
      <w:tr>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CO1</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 xml:space="preserve">To </w:t>
            </w:r>
            <w:r>
              <w:rPr>
                <w:rFonts w:ascii="Arial" w:hAnsi="Arial"/>
                <w:b/>
                <w:sz w:val="20"/>
              </w:rPr>
              <w:t>analyse</w:t>
            </w:r>
            <w:r>
              <w:rPr>
                <w:rFonts w:ascii="Arial" w:hAnsi="Arial"/>
                <w:sz w:val="20"/>
              </w:rPr>
              <w:t xml:space="preserve"> web engineering methodologies for the systematic development of web applications</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Engineering Knowledge (PO1), Problem Analysis (PO2)</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Cognitive domain – Level 4</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 Lecture Note ☒ Text Book ☐ Audio/Video ☒ Web Material ☒ Journal paper</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 Class Test ☒ Final Exam ☒ Assignment ☐ Participation ☐ Presentation</w:t>
            </w:r>
          </w:p>
        </w:tc>
      </w:tr>
      <w:tr>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CO2</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 xml:space="preserve">To </w:t>
            </w:r>
            <w:r>
              <w:rPr>
                <w:rFonts w:ascii="Arial" w:hAnsi="Arial"/>
                <w:b/>
                <w:sz w:val="20"/>
              </w:rPr>
              <w:t>evaluate</w:t>
            </w:r>
            <w:r>
              <w:rPr>
                <w:rFonts w:ascii="Arial" w:hAnsi="Arial"/>
                <w:sz w:val="20"/>
              </w:rPr>
              <w:t xml:space="preserve"> RESTful APIs and modern web architectures, including Single Page Applications and microservices</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Design/Development of Solutions (PO3)</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Cognitive domain – Level 5</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 Lecture Note ☒ Text Book ☐ Audio/Video ☒ Web Material ☐ Journal paper</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 Class Test ☒ Final Exam ☒ Assignment ☐ Participation ☐ Presentation</w:t>
            </w:r>
          </w:p>
        </w:tc>
      </w:tr>
      <w:tr>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CO3</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 xml:space="preserve">To </w:t>
            </w:r>
            <w:r>
              <w:rPr>
                <w:rFonts w:ascii="Arial" w:hAnsi="Arial"/>
                <w:b/>
                <w:sz w:val="20"/>
              </w:rPr>
              <w:t>analyse and evaluate</w:t>
            </w:r>
            <w:r>
              <w:rPr>
                <w:rFonts w:ascii="Arial" w:hAnsi="Arial"/>
                <w:sz w:val="20"/>
              </w:rPr>
              <w:t xml:space="preserve"> web application security threats and practical defences, including injection attacks, authentication flaws, information leaks, and denial of service attacks</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Investigation (PO4)</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Cognitive domain – Level 5</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 Lecture Note ☒ Text Book ☐ Audio/Video ☒ Web Material ☐ Journal paper</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 Class Test ☒ Final Exam ☒ Assignment ☐ Participation ☐ Presentation</w:t>
            </w:r>
          </w:p>
        </w:tc>
      </w:tr>
      <w:tr>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CO4</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 xml:space="preserve">To </w:t>
            </w:r>
            <w:r>
              <w:rPr>
                <w:rFonts w:ascii="Arial" w:hAnsi="Arial"/>
                <w:b/>
                <w:sz w:val="20"/>
              </w:rPr>
              <w:t>explain and compare</w:t>
            </w:r>
            <w:r>
              <w:rPr>
                <w:rFonts w:ascii="Arial" w:hAnsi="Arial"/>
                <w:sz w:val="20"/>
              </w:rPr>
              <w:t xml:space="preserve"> scalability strategies, Docker-based containerisation, and CI/CD pipeline concepts for production web systems</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Modern Tool Usage (PO5)</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Cognitive domain – Level 4</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 Lecture Note ☒ Text Book ☐ Audio/Video ☒ Web Material ☒ Journal paper</w:t>
            </w:r>
          </w:p>
        </w:tc>
        <w:tc>
          <w:tcPr>
            <w:tcW w:type="dxa" w:w="1738"/>
            <w:vAlign w:val="top"/>
            <w:tcMar>
              <w:top w:w="80" w:type="dxa"/>
              <w:start w:w="100" w:type="dxa"/>
              <w:bottom w:w="80" w:type="dxa"/>
              <w:end w:w="100" w:type="dxa"/>
            </w:tcMar>
          </w:tcPr>
          <w:p>
            <w:pPr>
              <w:spacing w:after="0"/>
            </w:pPr>
            <w:r>
              <w:rPr>
                <w:rFonts w:ascii="Arial" w:hAnsi="Arial"/>
                <w:sz w:val="20"/>
              </w:rPr>
            </w:r>
            <w:r>
              <w:rPr>
                <w:rFonts w:ascii="Arial" w:hAnsi="Arial"/>
                <w:sz w:val="20"/>
              </w:rPr>
              <w:t>☒ Class Test ☒ Final Exam ☒ Assignment ☐ Participation ☐ Presentation</w:t>
            </w:r>
          </w:p>
        </w:tc>
      </w:tr>
    </w:tbl>
    <w:p/>
    <w:p>
      <w:pPr>
        <w:pStyle w:val="BodyTextCustom"/>
      </w:pPr>
    </w:p>
    <w:p>
      <w:pPr>
        <w:pStyle w:val="CustomHeading1"/>
      </w:pPr>
      <w:r>
        <w:t>Assessment and Marks Distribution</w:t>
      </w:r>
    </w:p>
    <w:p>
      <w:pPr>
        <w:pStyle w:val="BodyTextCustom"/>
      </w:pPr>
      <w:r>
        <w:t>Students will be assessed on the basis of their overall performance across all class tests, assignments, and the final examination.</w:t>
      </w:r>
    </w:p>
    <w:tbl>
      <w:tblPr>
        <w:tblW w:type="auto" w:w="0"/>
        <w:jc w:val="center"/>
        <w:tblLayout w:type="autofit"/>
        <w:tblLook w:firstColumn="1" w:firstRow="1" w:lastColumn="0" w:lastRow="0" w:noHBand="0" w:noVBand="1" w:val="04A0"/>
        <w:tblBorders>
          <w:top w:val="single" w:sz="8" w:color="CFCFCF"/>
          <w:left w:val="single" w:sz="8" w:color="CFCFCF"/>
          <w:bottom w:val="single" w:sz="8" w:color="CFCFCF"/>
          <w:right w:val="single" w:sz="8" w:color="CFCFCF"/>
          <w:insideH w:val="single" w:sz="8" w:color="CFCFCF"/>
          <w:insideV w:val="single" w:sz="8" w:color="CFCFCF"/>
        </w:tblBorders>
      </w:tblPr>
      <w:tblGrid>
        <w:gridCol w:w="5213"/>
        <w:gridCol w:w="5213"/>
      </w:tblGrid>
      <w:tr>
        <w:tc>
          <w:tcPr>
            <w:tcW w:type="dxa" w:w="5213"/>
            <w:vAlign w:val="top"/>
            <w:tcMar>
              <w:top w:w="80" w:type="dxa"/>
              <w:start w:w="100" w:type="dxa"/>
              <w:bottom w:w="80" w:type="dxa"/>
              <w:end w:w="100" w:type="dxa"/>
            </w:tcMar>
            <w:shd w:fill="F5F5F5"/>
          </w:tcPr>
          <w:p>
            <w:pPr>
              <w:spacing w:after="0"/>
            </w:pPr>
            <w:r>
              <w:rPr>
                <w:rFonts w:ascii="Arial" w:hAnsi="Arial"/>
                <w:b/>
                <w:sz w:val="20"/>
              </w:rPr>
            </w:r>
            <w:r>
              <w:rPr>
                <w:rFonts w:ascii="Arial" w:hAnsi="Arial"/>
                <w:b/>
                <w:sz w:val="20"/>
              </w:rPr>
              <w:t>Component</w:t>
            </w:r>
          </w:p>
        </w:tc>
        <w:tc>
          <w:tcPr>
            <w:tcW w:type="dxa" w:w="5213"/>
            <w:vAlign w:val="top"/>
            <w:tcMar>
              <w:top w:w="80" w:type="dxa"/>
              <w:start w:w="100" w:type="dxa"/>
              <w:bottom w:w="80" w:type="dxa"/>
              <w:end w:w="100" w:type="dxa"/>
            </w:tcMar>
            <w:shd w:fill="F5F5F5"/>
          </w:tcPr>
          <w:p>
            <w:pPr>
              <w:spacing w:after="0"/>
            </w:pPr>
            <w:r>
              <w:rPr>
                <w:rFonts w:ascii="Arial" w:hAnsi="Arial"/>
                <w:b/>
                <w:sz w:val="20"/>
              </w:rPr>
            </w:r>
            <w:r>
              <w:rPr>
                <w:rFonts w:ascii="Arial" w:hAnsi="Arial"/>
                <w:b/>
                <w:sz w:val="20"/>
              </w:rPr>
              <w:t>Weightage</w:t>
            </w:r>
          </w:p>
        </w:tc>
      </w:tr>
      <w:tr>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sz w:val="20"/>
              </w:rPr>
              <w:t>Class Tests + Assignments (distributed throughout the semester)</w:t>
            </w:r>
          </w:p>
        </w:tc>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sz w:val="20"/>
              </w:rPr>
              <w:t>20%</w:t>
            </w:r>
          </w:p>
        </w:tc>
      </w:tr>
      <w:tr>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sz w:val="20"/>
              </w:rPr>
              <w:t>Comprehensive Final Exam (3 hours)</w:t>
            </w:r>
          </w:p>
        </w:tc>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sz w:val="20"/>
              </w:rPr>
              <w:t>70%</w:t>
            </w:r>
          </w:p>
        </w:tc>
      </w:tr>
      <w:tr>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sz w:val="20"/>
              </w:rPr>
              <w:t>Class Participation</w:t>
            </w:r>
          </w:p>
        </w:tc>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sz w:val="20"/>
              </w:rPr>
              <w:t>10%</w:t>
            </w:r>
          </w:p>
        </w:tc>
      </w:tr>
    </w:tbl>
    <w:p/>
    <w:p>
      <w:pPr>
        <w:pStyle w:val="BodyTextCustom"/>
      </w:pPr>
    </w:p>
    <w:p>
      <w:pPr>
        <w:pStyle w:val="CustomHeading1"/>
      </w:pPr>
      <w:r>
        <w:t>Course Contents</w:t>
      </w:r>
    </w:p>
    <w:p>
      <w:pPr>
        <w:pStyle w:val="CustomHeading2"/>
      </w:pPr>
      <w:r>
        <w:t>Web-Based Systems, Web Engineering, and Process</w:t>
      </w:r>
    </w:p>
    <w:p>
      <w:pPr>
        <w:pStyle w:val="BodyTextCustom"/>
      </w:pPr>
      <w:r>
        <w:t>Characteristics of web-based systems. Categories of web applications. Need for Web Engineering. Web Engineering layers: process, methods, tools, and quality focus. Process models for web development: incremental, agile-web, spiral, and iterative delivery. Framework activities: communication, planning, modelling, construction, deployment. Process adaptation, project risk, and quality attributes: usability, security, maintainability, scalability. Course orientation and relation to the companion lab.</w:t>
      </w:r>
    </w:p>
    <w:p>
      <w:pPr>
        <w:pStyle w:val="CustomHeading2"/>
      </w:pPr>
      <w:r>
        <w:t>Communication, Planning, and Modelling Activity</w:t>
      </w:r>
    </w:p>
    <w:p>
      <w:pPr>
        <w:pStyle w:val="BodyTextCustom"/>
      </w:pPr>
      <w:r>
        <w:t>Stakeholder communication. Requirement elicitation techniques. Scope definition and feasibility analysis. Project planning: scheduling, effort estimation, milestones, deliverables. Team roles, project tracking, and project metrics. Analysis modelling. Content modelling. Interaction modelling. Architectural modelling. Validation of models before implementation.</w:t>
      </w:r>
    </w:p>
    <w:p>
      <w:pPr>
        <w:pStyle w:val="CustomHeading2"/>
      </w:pPr>
      <w:r>
        <w:t>Web App Design: Interface, Content, Architecture, and Navigation</w:t>
      </w:r>
    </w:p>
    <w:p>
      <w:pPr>
        <w:pStyle w:val="BodyTextCustom"/>
      </w:pPr>
      <w:r>
        <w:t>Design issues specific to web apps. Interface design. Typography, layout, colour, and visual hierarchy. Content design. Architecture and navigation design. Object-Oriented Hypermedia Design (OOHDM). Design metrics for web apps.</w:t>
      </w:r>
    </w:p>
    <w:p>
      <w:pPr>
        <w:pStyle w:val="CustomHeading2"/>
      </w:pPr>
      <w:r>
        <w:t>REST API Design, Web Services, and Modern Web Architecture</w:t>
      </w:r>
    </w:p>
    <w:p>
      <w:pPr>
        <w:pStyle w:val="BodyTextCustom"/>
      </w:pPr>
      <w:r>
        <w:t>HTTP as an application protocol: methods, status codes, headers. REST architectural constraints. RESTful API design: resource naming, URI structure, versioning. API data formats: JSON and XML. API documentation standards: OpenAPI / Swagger. Web services: SOAP vs. REST, GraphQL. API security fundamentals: API keys, OAuth 2.0, JWT. Single Page Applications (SPAs). SSR vs. CSR vs. SSG. Introduction to microservices. Server-side framework patterns in Express.js, AdonisJS, and Laravel. Backend-as-a-Service (BaaS) and serverless concepts.</w:t>
      </w:r>
    </w:p>
    <w:p>
      <w:pPr>
        <w:pStyle w:val="CustomHeading2"/>
      </w:pPr>
      <w:r>
        <w:t>Web App Security</w:t>
      </w:r>
    </w:p>
    <w:p>
      <w:pPr>
        <w:pStyle w:val="BodyTextCustom"/>
      </w:pPr>
      <w:r>
        <w:rPr>
          <w:b/>
        </w:rPr>
        <w:t>Primary text:</w:t>
      </w:r>
      <w:r>
        <w:t xml:space="preserve"> Malcolm McDonald, </w:t>
      </w:r>
      <w:r>
        <w:rPr>
          <w:i/>
        </w:rPr>
        <w:t>Web Security for Developers: Real Threats, Practical Defense</w:t>
      </w:r>
    </w:p>
    <w:p>
      <w:pPr>
        <w:pStyle w:val="BodyTextCustom"/>
      </w:pPr>
      <w:r>
        <w:t>OWASP Top 10 overview. Injection attacks. Cross-Site Scripting (XSS). Cross-Site Request Forgery (CSRF). Compromising authentication. Session and cookie security. Information leaks. Denial of Service (DoS) attacks. Secure input handling, validation, sanitisation, and output encoding. Security checklist for web application deployment and maintenance.</w:t>
      </w:r>
    </w:p>
    <w:p>
      <w:pPr>
        <w:pStyle w:val="CustomHeading2"/>
      </w:pPr>
      <w:r>
        <w:t>Web App Testing</w:t>
      </w:r>
    </w:p>
    <w:p>
      <w:pPr>
        <w:pStyle w:val="BodyTextCustom"/>
      </w:pPr>
      <w:r>
        <w:t>Testing web apps vs. traditional software. Content testing. User interface testing. Navigation testing. Configuration testing. Security testing. Performance testing. Test automation strategies: Selenium, Playwright, Cypress.</w:t>
      </w:r>
    </w:p>
    <w:p>
      <w:pPr>
        <w:pStyle w:val="CustomHeading2"/>
      </w:pPr>
      <w:r>
        <w:t>Web App Scalability and Load Balancing</w:t>
      </w:r>
    </w:p>
    <w:p>
      <w:pPr>
        <w:pStyle w:val="BodyTextCustom"/>
      </w:pPr>
      <w:r>
        <w:t>Scalability concepts. Root causes of scalability issues. Vertical scaling. Horizontal scaling. CDN (Content Delivery Networks). Caching strategies. Database scaling: read replicas and sharding. Asynchronous processing: message queues and pub/sub patterns. Load balancer role in system architecture. Load balancing algorithms: Round Robin, Weighted Round Robin, Least Connections, and IP Hash. Session persistence (sticky sessions). SSL/TLS termination. GeoDNS. Layer 4 vs. Layer 7 load balancing. Real-world examples: Nginx, HAProxy, AWS ALB/NLB.</w:t>
      </w:r>
    </w:p>
    <w:p>
      <w:pPr>
        <w:pStyle w:val="CustomHeading2"/>
      </w:pPr>
      <w:r>
        <w:t>Containerisation, CI/CD, and DevOps Practices</w:t>
      </w:r>
    </w:p>
    <w:p>
      <w:pPr>
        <w:pStyle w:val="BodyTextCustom"/>
      </w:pPr>
      <w:r>
        <w:t xml:space="preserve">Virtual machines vs. containers. Docker architecture: Docker Engine, images, containers, Docker Hub registry, Dockerfile. Dockerfile basics: </w:t>
      </w:r>
      <w:r>
        <w:rPr>
          <w:rFonts w:ascii="Courier New" w:hAnsi="Courier New"/>
          <w:sz w:val="18"/>
        </w:rPr>
        <w:t>FROM</w:t>
      </w:r>
      <w:r>
        <w:t xml:space="preserve">, </w:t>
      </w:r>
      <w:r>
        <w:rPr>
          <w:rFonts w:ascii="Courier New" w:hAnsi="Courier New"/>
          <w:sz w:val="18"/>
        </w:rPr>
        <w:t>COPY</w:t>
      </w:r>
      <w:r>
        <w:t xml:space="preserve">, </w:t>
      </w:r>
      <w:r>
        <w:rPr>
          <w:rFonts w:ascii="Courier New" w:hAnsi="Courier New"/>
          <w:sz w:val="18"/>
        </w:rPr>
        <w:t>RUN</w:t>
      </w:r>
      <w:r>
        <w:t xml:space="preserve">, </w:t>
      </w:r>
      <w:r>
        <w:rPr>
          <w:rFonts w:ascii="Courier New" w:hAnsi="Courier New"/>
          <w:sz w:val="18"/>
        </w:rPr>
        <w:t>EXPOSE</w:t>
      </w:r>
      <w:r>
        <w:t xml:space="preserve">, </w:t>
      </w:r>
      <w:r>
        <w:rPr>
          <w:rFonts w:ascii="Courier New" w:hAnsi="Courier New"/>
          <w:sz w:val="18"/>
        </w:rPr>
        <w:t>CMD</w:t>
      </w:r>
      <w:r>
        <w:t xml:space="preserve">. Building and running images: </w:t>
      </w:r>
      <w:r>
        <w:rPr>
          <w:rFonts w:ascii="Courier New" w:hAnsi="Courier New"/>
          <w:sz w:val="18"/>
        </w:rPr>
        <w:t>docker build</w:t>
      </w:r>
      <w:r>
        <w:t xml:space="preserve">, </w:t>
      </w:r>
      <w:r>
        <w:rPr>
          <w:rFonts w:ascii="Courier New" w:hAnsi="Courier New"/>
          <w:sz w:val="18"/>
        </w:rPr>
        <w:t>docker run</w:t>
      </w:r>
      <w:r>
        <w:t>, port mapping, environment variables. Docker Compose. Container networking. Container orchestration concepts. Docker in the development workflow. CI/CD concepts: Continuous Integration, Continuous Delivery, Continuous Deployment. CI pipeline stages. CD pipeline stages. GitHub Actions. Containerised CI/CD. Deployment strategies: blue-green, canary, rolling updates. Environment management. DevOps culture and observability basics.</w:t>
      </w:r>
    </w:p>
    <w:p>
      <w:pPr>
        <w:pStyle w:val="BodyTextCustom"/>
      </w:pPr>
    </w:p>
    <w:p>
      <w:pPr>
        <w:pStyle w:val="CustomHeading1"/>
      </w:pPr>
      <w:r>
        <w:t>Textbooks</w:t>
      </w:r>
    </w:p>
    <w:p>
      <w:pPr>
        <w:pStyle w:val="ListNumber"/>
        <w:spacing w:after="40"/>
        <w:ind w:left="288"/>
      </w:pPr>
      <w:r>
        <w:t xml:space="preserve">Roger S. Pressman and David Lowe — </w:t>
      </w:r>
      <w:r>
        <w:rPr>
          <w:i/>
        </w:rPr>
        <w:t>Web Engineering</w:t>
      </w:r>
      <w:r>
        <w:t>, Tata McGraw-Hill, 2008 — for foundational topics on web-based systems, web engineering process, communication, planning, and modelling activity</w:t>
      </w:r>
    </w:p>
    <w:p>
      <w:pPr>
        <w:pStyle w:val="ListNumber"/>
        <w:spacing w:after="40"/>
        <w:ind w:left="288"/>
      </w:pPr>
      <w:r>
        <w:t xml:space="preserve">Malcolm McDonald — </w:t>
      </w:r>
      <w:r>
        <w:rPr>
          <w:i/>
        </w:rPr>
        <w:t>Web Security for Developers: Real Threats, Practical Defense</w:t>
      </w:r>
      <w:r>
        <w:t>, No Starch Press, 2020</w:t>
      </w:r>
    </w:p>
    <w:p>
      <w:pPr>
        <w:pStyle w:val="ListNumber"/>
        <w:spacing w:after="40"/>
        <w:ind w:left="288"/>
      </w:pPr>
      <w:r>
        <w:t xml:space="preserve">Leonard Richardson &amp; Mike Amundsen — </w:t>
      </w:r>
      <w:r>
        <w:rPr>
          <w:i/>
        </w:rPr>
        <w:t>RESTful Web APIs</w:t>
      </w:r>
      <w:r>
        <w:t>, O'Reilly Media, 2013</w:t>
      </w:r>
    </w:p>
    <w:p>
      <w:pPr>
        <w:pStyle w:val="ListNumber"/>
        <w:spacing w:after="40"/>
        <w:ind w:left="288"/>
      </w:pPr>
      <w:r>
        <w:t xml:space="preserve">Nigel Poulton — </w:t>
      </w:r>
      <w:r>
        <w:rPr>
          <w:i/>
        </w:rPr>
        <w:t>Docker Deep Dive</w:t>
      </w:r>
      <w:r>
        <w:t xml:space="preserve"> (2023 edition) </w:t>
      </w:r>
      <w:r>
        <w:rPr>
          <w:i/>
        </w:rPr>
        <w:t>(free online at dockerbook.com)</w:t>
      </w:r>
    </w:p>
    <w:p>
      <w:pPr>
        <w:pStyle w:val="CustomHeading1"/>
      </w:pPr>
      <w:r>
        <w:t>Recommended Resources</w:t>
      </w:r>
    </w:p>
    <w:p>
      <w:pPr>
        <w:pStyle w:val="CustomHeading2"/>
      </w:pPr>
      <w:r>
        <w:t>Scalability</w:t>
      </w:r>
    </w:p>
    <w:p>
      <w:pPr>
        <w:pStyle w:val="ListNumber"/>
        <w:spacing w:after="40"/>
        <w:ind w:left="288"/>
      </w:pPr>
      <w:r>
        <w:rPr>
          <w:b/>
        </w:rPr>
        <w:t>Hookdeck — Web Scalability for Beginners</w:t>
      </w:r>
      <w:r>
        <w:t xml:space="preserve"> — </w:t>
      </w:r>
      <w:r>
        <w:rPr>
          <w:color w:val="0563C1"/>
          <w:u w:val="single"/>
        </w:rPr>
        <w:t>hookdeck.com/blog/web-scalability-beginners</w:t>
      </w:r>
      <w:r>
        <w:t xml:space="preserve"> (https://hookdeck.com/blog/web-scalability-beginners)</w:t>
      </w:r>
      <w:r>
        <w:t xml:space="preserve"> — conceptual overview of scaling strategies</w:t>
      </w:r>
    </w:p>
    <w:p>
      <w:pPr>
        <w:pStyle w:val="ListNumber"/>
        <w:spacing w:after="40"/>
        <w:ind w:left="288"/>
      </w:pPr>
      <w:r>
        <w:rPr>
          <w:b/>
        </w:rPr>
        <w:t>Design Gurus — Introduction to Load Balancing</w:t>
      </w:r>
      <w:r>
        <w:t xml:space="preserve"> — </w:t>
      </w:r>
      <w:r>
        <w:rPr>
          <w:color w:val="0563C1"/>
          <w:u w:val="single"/>
        </w:rPr>
        <w:t>designgurus.io — Grokking System Design Fundamentals</w:t>
      </w:r>
      <w:r>
        <w:t xml:space="preserve"> (https://www.designgurus.io/course-play/grokking-system-design-fundamentals/doc/introduction-to-load-balancing)</w:t>
      </w:r>
      <w:r>
        <w:t xml:space="preserve"> — load balancer mechanics and algorithms</w:t>
      </w:r>
    </w:p>
    <w:p>
      <w:pPr>
        <w:pStyle w:val="CustomHeading2"/>
      </w:pPr>
      <w:r>
        <w:t>Security</w:t>
      </w:r>
    </w:p>
    <w:p>
      <w:pPr>
        <w:pStyle w:val="ListNumber"/>
        <w:spacing w:after="40"/>
        <w:ind w:left="288"/>
      </w:pPr>
      <w:r>
        <w:rPr>
          <w:b/>
        </w:rPr>
        <w:t>OWASP Top 10</w:t>
      </w:r>
      <w:r>
        <w:t xml:space="preserve"> — </w:t>
      </w:r>
      <w:r>
        <w:rPr>
          <w:color w:val="0563C1"/>
          <w:u w:val="single"/>
        </w:rPr>
        <w:t>owasp.org/www-project-top-ten</w:t>
      </w:r>
      <w:r>
        <w:t xml:space="preserve"> (https://owasp.org/www-project-top-ten/)</w:t>
      </w:r>
      <w:r>
        <w:t xml:space="preserve"> — authoritative web security threat list</w:t>
      </w:r>
    </w:p>
    <w:p>
      <w:pPr>
        <w:pStyle w:val="ListNumber"/>
        <w:spacing w:after="40"/>
        <w:ind w:left="288"/>
      </w:pPr>
      <w:r>
        <w:rPr>
          <w:b/>
        </w:rPr>
        <w:t>OWASP Cheat Sheet Series</w:t>
      </w:r>
      <w:r>
        <w:t xml:space="preserve"> — </w:t>
      </w:r>
      <w:r>
        <w:rPr>
          <w:color w:val="0563C1"/>
          <w:u w:val="single"/>
        </w:rPr>
        <w:t>cheatsheetseries.owasp.org</w:t>
      </w:r>
      <w:r>
        <w:t xml:space="preserve"> (https://cheatsheetseries.owasp.org)</w:t>
      </w:r>
      <w:r>
        <w:t xml:space="preserve"> — practical defence guidance per vulnerability</w:t>
      </w:r>
    </w:p>
    <w:p>
      <w:pPr>
        <w:pStyle w:val="CustomHeading2"/>
      </w:pPr>
      <w:r>
        <w:t>REST &amp; Architecture</w:t>
      </w:r>
    </w:p>
    <w:p>
      <w:pPr>
        <w:pStyle w:val="ListNumber"/>
        <w:spacing w:after="40"/>
        <w:ind w:left="288"/>
      </w:pPr>
      <w:r>
        <w:rPr>
          <w:b/>
        </w:rPr>
        <w:t>MDN — HTTP documentation</w:t>
      </w:r>
      <w:r>
        <w:t xml:space="preserve"> — </w:t>
      </w:r>
      <w:r>
        <w:rPr>
          <w:color w:val="0563C1"/>
          <w:u w:val="single"/>
        </w:rPr>
        <w:t>developer.mozilla.org/en-US/docs/Web/HTTP</w:t>
      </w:r>
      <w:r>
        <w:t xml:space="preserve"> (https://developer.mozilla.org/en-US/docs/Web/HTTP)</w:t>
      </w:r>
    </w:p>
    <w:p>
      <w:pPr>
        <w:pStyle w:val="ListNumber"/>
        <w:spacing w:after="40"/>
        <w:ind w:left="288"/>
      </w:pPr>
      <w:r>
        <w:rPr>
          <w:b/>
        </w:rPr>
        <w:t>OpenAPI Specification</w:t>
      </w:r>
      <w:r>
        <w:t xml:space="preserve"> — </w:t>
      </w:r>
      <w:r>
        <w:rPr>
          <w:color w:val="0563C1"/>
          <w:u w:val="single"/>
        </w:rPr>
        <w:t>spec.openapis.org</w:t>
      </w:r>
      <w:r>
        <w:t xml:space="preserve"> (https://spec.openapis.org)</w:t>
      </w:r>
      <w:r>
        <w:t xml:space="preserve"> — API documentation standard</w:t>
      </w:r>
    </w:p>
    <w:p>
      <w:pPr>
        <w:pStyle w:val="CustomHeading2"/>
      </w:pPr>
      <w:r>
        <w:t>CI/CD</w:t>
      </w:r>
    </w:p>
    <w:p>
      <w:pPr>
        <w:pStyle w:val="ListNumber"/>
        <w:spacing w:after="40"/>
        <w:ind w:left="288"/>
      </w:pPr>
      <w:r>
        <w:rPr>
          <w:b/>
        </w:rPr>
        <w:t>GitHub Actions Documentation</w:t>
      </w:r>
      <w:r>
        <w:t xml:space="preserve"> — </w:t>
      </w:r>
      <w:r>
        <w:rPr>
          <w:color w:val="0563C1"/>
          <w:u w:val="single"/>
        </w:rPr>
        <w:t>docs.github.com/en/actions</w:t>
      </w:r>
      <w:r>
        <w:t xml:space="preserve"> (https://docs.github.com/en/actions)</w:t>
      </w:r>
    </w:p>
    <w:p>
      <w:pPr>
        <w:pStyle w:val="ListNumber"/>
        <w:spacing w:after="40"/>
        <w:ind w:left="288"/>
      </w:pPr>
      <w:r>
        <w:rPr>
          <w:b/>
        </w:rPr>
        <w:t>Atlassian CI/CD Guide</w:t>
      </w:r>
      <w:r>
        <w:t xml:space="preserve"> — </w:t>
      </w:r>
      <w:r>
        <w:rPr>
          <w:color w:val="0563C1"/>
          <w:u w:val="single"/>
        </w:rPr>
        <w:t>atlassian.com/continuous-delivery/principles/continuous-integration-vs-delivery-vs-deployment</w:t>
      </w:r>
      <w:r>
        <w:t xml:space="preserve"> (https://www.atlassian.com/continuous-delivery/principles/continuous-integration-vs-delivery-vs-deployment)</w:t>
      </w:r>
    </w:p>
    <w:p>
      <w:pPr>
        <w:pStyle w:val="CustomHeading2"/>
      </w:pPr>
      <w:r>
        <w:t>Free PDF Quick-Reference Books (goalkicker.com)</w:t>
      </w:r>
    </w:p>
    <w:tbl>
      <w:tblPr>
        <w:tblW w:type="auto" w:w="0"/>
        <w:jc w:val="center"/>
        <w:tblLayout w:type="autofit"/>
        <w:tblLook w:firstColumn="1" w:firstRow="1" w:lastColumn="0" w:lastRow="0" w:noHBand="0" w:noVBand="1" w:val="04A0"/>
        <w:tblBorders>
          <w:top w:val="single" w:sz="8" w:color="CFCFCF"/>
          <w:left w:val="single" w:sz="8" w:color="CFCFCF"/>
          <w:bottom w:val="single" w:sz="8" w:color="CFCFCF"/>
          <w:right w:val="single" w:sz="8" w:color="CFCFCF"/>
          <w:insideH w:val="single" w:sz="8" w:color="CFCFCF"/>
          <w:insideV w:val="single" w:sz="8" w:color="CFCFCF"/>
        </w:tblBorders>
      </w:tblPr>
      <w:tblGrid>
        <w:gridCol w:w="5213"/>
        <w:gridCol w:w="5213"/>
      </w:tblGrid>
      <w:tr>
        <w:tc>
          <w:tcPr>
            <w:tcW w:type="dxa" w:w="5213"/>
            <w:vAlign w:val="top"/>
            <w:tcMar>
              <w:top w:w="80" w:type="dxa"/>
              <w:start w:w="100" w:type="dxa"/>
              <w:bottom w:w="80" w:type="dxa"/>
              <w:end w:w="100" w:type="dxa"/>
            </w:tcMar>
            <w:shd w:fill="F5F5F5"/>
          </w:tcPr>
          <w:p>
            <w:pPr>
              <w:spacing w:after="0"/>
            </w:pPr>
            <w:r>
              <w:rPr>
                <w:rFonts w:ascii="Arial" w:hAnsi="Arial"/>
                <w:b/>
                <w:sz w:val="20"/>
              </w:rPr>
            </w:r>
            <w:r>
              <w:rPr>
                <w:rFonts w:ascii="Arial" w:hAnsi="Arial"/>
                <w:b/>
                <w:sz w:val="20"/>
              </w:rPr>
              <w:t>Topic</w:t>
            </w:r>
          </w:p>
        </w:tc>
        <w:tc>
          <w:tcPr>
            <w:tcW w:type="dxa" w:w="5213"/>
            <w:vAlign w:val="top"/>
            <w:tcMar>
              <w:top w:w="80" w:type="dxa"/>
              <w:start w:w="100" w:type="dxa"/>
              <w:bottom w:w="80" w:type="dxa"/>
              <w:end w:w="100" w:type="dxa"/>
            </w:tcMar>
            <w:shd w:fill="F5F5F5"/>
          </w:tcPr>
          <w:p>
            <w:pPr>
              <w:spacing w:after="0"/>
            </w:pPr>
            <w:r>
              <w:rPr>
                <w:rFonts w:ascii="Arial" w:hAnsi="Arial"/>
                <w:b/>
                <w:sz w:val="20"/>
              </w:rPr>
            </w:r>
            <w:r>
              <w:rPr>
                <w:rFonts w:ascii="Arial" w:hAnsi="Arial"/>
                <w:b/>
                <w:sz w:val="20"/>
              </w:rPr>
              <w:t>Download</w:t>
            </w:r>
          </w:p>
        </w:tc>
      </w:tr>
      <w:tr>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sz w:val="20"/>
              </w:rPr>
              <w:t>JavaScript / HTTP Requests</w:t>
            </w:r>
          </w:p>
        </w:tc>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color w:val="0563C1"/>
                <w:sz w:val="20"/>
                <w:u w:val="single"/>
              </w:rPr>
              <w:t>JavaScript Notes for Professionals (PDF)</w:t>
            </w:r>
            <w:r>
              <w:rPr>
                <w:rFonts w:ascii="Arial" w:hAnsi="Arial"/>
                <w:sz w:val="20"/>
              </w:rPr>
              <w:t xml:space="preserve"> (https://goalkicker.com/JavaScriptBook/JavaScriptNotesForProfessionals.pdf)</w:t>
            </w:r>
          </w:p>
        </w:tc>
      </w:tr>
      <w:tr>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sz w:val="20"/>
              </w:rPr>
              <w:t>Git</w:t>
            </w:r>
          </w:p>
        </w:tc>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color w:val="0563C1"/>
                <w:sz w:val="20"/>
                <w:u w:val="single"/>
              </w:rPr>
              <w:t>Git Notes for Professionals (PDF)</w:t>
            </w:r>
            <w:r>
              <w:rPr>
                <w:rFonts w:ascii="Arial" w:hAnsi="Arial"/>
                <w:sz w:val="20"/>
              </w:rPr>
              <w:t xml:space="preserve"> (https://goalkicker.com/GitBook/GitNotesForProfessionals.pdf)</w:t>
            </w:r>
          </w:p>
        </w:tc>
      </w:tr>
      <w:tr>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sz w:val="20"/>
              </w:rPr>
              <w:t>Linux (for Docker context)</w:t>
            </w:r>
          </w:p>
        </w:tc>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color w:val="0563C1"/>
                <w:sz w:val="20"/>
                <w:u w:val="single"/>
              </w:rPr>
              <w:t>Linux Notes for Professionals (PDF)</w:t>
            </w:r>
            <w:r>
              <w:rPr>
                <w:rFonts w:ascii="Arial" w:hAnsi="Arial"/>
                <w:sz w:val="20"/>
              </w:rPr>
              <w:t xml:space="preserve"> (https://goalkicker.com/LinuxBook/LinuxNotesForProfessionals.pdf)</w:t>
            </w:r>
          </w:p>
        </w:tc>
      </w:tr>
      <w:tr>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sz w:val="20"/>
              </w:rPr>
              <w:t>Node.js</w:t>
            </w:r>
          </w:p>
        </w:tc>
        <w:tc>
          <w:tcPr>
            <w:tcW w:type="dxa" w:w="5213"/>
            <w:vAlign w:val="top"/>
            <w:tcMar>
              <w:top w:w="80" w:type="dxa"/>
              <w:start w:w="100" w:type="dxa"/>
              <w:bottom w:w="80" w:type="dxa"/>
              <w:end w:w="100" w:type="dxa"/>
            </w:tcMar>
          </w:tcPr>
          <w:p>
            <w:pPr>
              <w:spacing w:after="0"/>
            </w:pPr>
            <w:r>
              <w:rPr>
                <w:rFonts w:ascii="Arial" w:hAnsi="Arial"/>
                <w:sz w:val="20"/>
              </w:rPr>
            </w:r>
            <w:r>
              <w:rPr>
                <w:rFonts w:ascii="Arial" w:hAnsi="Arial"/>
                <w:color w:val="0563C1"/>
                <w:sz w:val="20"/>
                <w:u w:val="single"/>
              </w:rPr>
              <w:t>Node.js Notes for Professionals (PDF)</w:t>
            </w:r>
            <w:r>
              <w:rPr>
                <w:rFonts w:ascii="Arial" w:hAnsi="Arial"/>
                <w:sz w:val="20"/>
              </w:rPr>
              <w:t xml:space="preserve"> (https://goalkicker.com/NodeJSBook/NodeJSNotesForProfessionals.pdf)</w:t>
            </w:r>
          </w:p>
        </w:tc>
      </w:tr>
    </w:tbl>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after="280"/>
    </w:pPr>
    <w:rPr>
      <w:rFonts w:ascii="Arial" w:hAnsi="Arial"/>
      <w:b/>
      <w:color w:val="111111"/>
      <w:sz w:val="44"/>
    </w:rPr>
  </w:style>
  <w:style w:type="paragraph" w:customStyle="1" w:styleId="CustomHeading1">
    <w:name w:val="CustomHeading1"/>
    <w:basedOn w:val="Normal"/>
    <w:pPr>
      <w:spacing w:before="240" w:after="120"/>
    </w:pPr>
    <w:rPr>
      <w:rFonts w:ascii="Arial" w:hAnsi="Arial"/>
      <w:b/>
      <w:color w:val="111111"/>
      <w:sz w:val="32"/>
    </w:rPr>
  </w:style>
  <w:style w:type="paragraph" w:customStyle="1" w:styleId="CustomHeading2">
    <w:name w:val="CustomHeading2"/>
    <w:basedOn w:val="Normal"/>
    <w:pPr>
      <w:spacing w:before="200" w:after="80"/>
    </w:pPr>
    <w:rPr>
      <w:rFonts w:ascii="Arial" w:hAnsi="Arial"/>
      <w:b/>
      <w:color w:val="111111"/>
      <w:sz w:val="26"/>
    </w:rPr>
  </w:style>
  <w:style w:type="paragraph" w:customStyle="1" w:styleId="CustomHeading3">
    <w:name w:val="CustomHeading3"/>
    <w:basedOn w:val="Normal"/>
    <w:pPr>
      <w:spacing w:before="160" w:after="60"/>
    </w:pPr>
    <w:rPr>
      <w:rFonts w:ascii="Arial" w:hAnsi="Arial"/>
      <w:b/>
      <w:sz w:val="22"/>
    </w:rPr>
  </w:style>
  <w:style w:type="paragraph" w:customStyle="1" w:styleId="BodyTextCustom">
    <w:name w:val="BodyTextCustom"/>
    <w:basedOn w:val="Normal"/>
    <w:pPr>
      <w:spacing w:after="120" w:line="276" w:lineRule="auto"/>
    </w:pPr>
    <w:rPr>
      <w:rFonts w:ascii="Arial" w:hAnsi="Arial"/>
      <w:sz w:val="20"/>
    </w:rPr>
  </w:style>
  <w:style w:type="paragraph" w:customStyle="1" w:styleId="QuoteCustom">
    <w:name w:val="QuoteCustom"/>
    <w:basedOn w:val="Normal"/>
    <w:rPr>
      <w:rFonts w:ascii="Arial" w:hAnsi="Arial"/>
      <w:i/>
      <w:color w:val="555555"/>
      <w:sz w:val="20"/>
    </w:rPr>
  </w:style>
  <w:style w:type="paragraph" w:customStyle="1" w:styleId="CodeBlockCustom">
    <w:name w:val="CodeBlockCustom"/>
    <w:basedOn w:val="Normal"/>
    <w:pPr>
      <w:spacing w:before="80" w:after="12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