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36"/>
          <w:szCs w:val="36"/>
        </w:rPr>
        <w:t xml:space="preserve">The Fluid Coordinate Model P=(X,Y,Z,t):</w:t>
      </w:r>
    </w:p>
    <w:p>
      <w:pPr>
        <w:spacing w:after="120"/>
        <w:jc w:val="center"/>
      </w:pPr>
      <w:r>
        <w:rPr>
          <w:rFonts w:ascii="Arial" w:cs="Arial" w:eastAsia="Arial" w:hAnsi="Arial"/>
          <w:b/>
          <w:bCs/>
          <w:color w:val="2E4057"/>
          <w:sz w:val="36"/>
          <w:szCs w:val="36"/>
        </w:rPr>
        <w:t xml:space="preserve">Dynamic Trajectory Evaluation for AI Governance</w:t>
      </w:r>
    </w:p>
    <w:p>
      <w:pPr>
        <w:spacing w:after="80"/>
        <w:jc w:val="center"/>
      </w:pPr>
      <w:r>
        <w:rPr>
          <w:rFonts w:ascii="Arial" w:cs="Arial" w:eastAsia="Arial" w:hAnsi="Arial"/>
          <w:color w:val="7B2D8B"/>
          <w:sz w:val="24"/>
          <w:szCs w:val="24"/>
        </w:rPr>
        <w:t xml:space="preserve">流動座標モデル P=(X,Y,Z,t)：AIガバナンスの動的軌跡評価</w:t>
      </w:r>
    </w:p>
    <w:p>
      <w:r>
        <w:t xml:space="preserve"/>
      </w:r>
    </w:p>
    <w:p>
      <w:pPr>
        <w:spacing w:after="60"/>
        <w:jc w:val="center"/>
      </w:pPr>
      <w:r>
        <w:rPr>
          <w:rFonts w:ascii="Arial" w:cs="Arial" w:eastAsia="Arial" w:hAnsi="Arial"/>
          <w:b/>
          <w:bCs/>
          <w:sz w:val="24"/>
          <w:szCs w:val="24"/>
        </w:rPr>
        <w:t xml:space="preserve">Kimura, M. (きむら博士)</w:t>
      </w:r>
    </w:p>
    <w:p>
      <w:pPr>
        <w:spacing w:after="60"/>
        <w:jc w:val="center"/>
      </w:pPr>
      <w:r>
        <w:rPr>
          <w:rFonts w:ascii="Arial" w:cs="Arial" w:eastAsia="Arial" w:hAnsi="Arial"/>
          <w:color w:val="666666"/>
          <w:sz w:val="22"/>
          <w:szCs w:val="22"/>
        </w:rPr>
        <w:t xml:space="preserve">Independent Researcher | MoCKA Project</w:t>
      </w:r>
    </w:p>
    <w:p>
      <w:pPr>
        <w:spacing w:after="60"/>
        <w:jc w:val="center"/>
      </w:pPr>
      <w:r>
        <w:rPr>
          <w:rFonts w:ascii="Arial" w:cs="Arial" w:eastAsia="Arial" w:hAnsi="Arial"/>
          <w:i/>
          <w:iCs/>
          <w:color w:val="666666"/>
          <w:sz w:val="22"/>
          <w:szCs w:val="22"/>
        </w:rPr>
        <w:t xml:space="preserve">AI Co-Author: Claude (Anthropic)</w:t>
      </w:r>
    </w:p>
    <w:p>
      <w:pPr>
        <w:spacing w:after="60"/>
        <w:jc w:val="center"/>
      </w:pPr>
      <w:r>
        <w:rPr>
          <w:rFonts w:ascii="Arial" w:cs="Arial" w:eastAsia="Arial" w:hAnsi="Arial"/>
          <w:color w:val="666666"/>
          <w:sz w:val="22"/>
          <w:szCs w:val="22"/>
        </w:rPr>
        <w:t xml:space="preserve">Technical Note v1.0 | 2026-04-11</w:t>
      </w:r>
    </w:p>
    <w:p>
      <w:r>
        <w:t xml:space="preserve"/>
      </w:r>
    </w:p>
    <w:p>
      <w:pPr>
        <w:pStyle w:val="Heading1"/>
      </w:pPr>
      <w:r>
        <w:rPr>
          <w:rFonts w:ascii="Arial" w:cs="Arial" w:eastAsia="Arial" w:hAnsi="Arial"/>
          <w:b/>
          <w:bCs/>
          <w:sz w:val="32"/>
          <w:szCs w:val="32"/>
        </w:rPr>
        <w:t xml:space="preserve">Abstract</w:t>
      </w:r>
    </w:p>
    <w:p>
      <w:pPr>
        <w:spacing w:after="120"/>
      </w:pPr>
      <w:r>
        <w:rPr>
          <w:rFonts w:ascii="Arial" w:cs="Arial" w:eastAsia="Arial" w:hAnsi="Arial"/>
          <w:sz w:val="24"/>
          <w:szCs w:val="24"/>
        </w:rPr>
        <w:t xml:space="preserve">Traditional AI governance evaluation relies on binary judgments: compliant or non-compliant, safe or unsafe. This approach fails to capture the dynamic, continuous nature of institutional health in multi-agent AI systems. We present the Fluid Coordinate Model, which represents governance state as a continuous three-dimensional trajectory P(t) = (X(t), Y(t), Z(t)) through institutional state space. The model enables detection of governance trends, diagnosis of structural weaknesses, and identification of the diagnostic technology effect — wherein improved measurement capability produces apparent metric decline that actually indicates system maturation. Empirical data from the MoCKA system over 30+ days demonstrates all three phenomena.</w:t>
      </w:r>
    </w:p>
    <w:p>
      <w:r>
        <w:t xml:space="preserve"/>
      </w:r>
    </w:p>
    <w:p>
      <w:pPr>
        <w:spacing w:after="120"/>
      </w:pPr>
      <w:r>
        <w:rPr>
          <w:rFonts w:ascii="Arial" w:cs="Arial" w:eastAsia="Arial" w:hAnsi="Arial"/>
          <w:i/>
          <w:iCs/>
          <w:sz w:val="24"/>
          <w:szCs w:val="24"/>
        </w:rPr>
        <w:t xml:space="preserve">Keywords: fluid coordinates, dynamic governance, trajectory analysis, diagnostic technology effect, AI governance</w:t>
      </w:r>
    </w:p>
    <w:p>
      <w:r>
        <w:t xml:space="preserve"/>
      </w:r>
    </w:p>
    <w:p>
      <w:pPr>
        <w:pStyle w:val="Heading1"/>
      </w:pPr>
      <w:r>
        <w:rPr>
          <w:rFonts w:ascii="Arial" w:cs="Arial" w:eastAsia="Arial" w:hAnsi="Arial"/>
          <w:b/>
          <w:bCs/>
          <w:sz w:val="32"/>
          <w:szCs w:val="32"/>
        </w:rPr>
        <w:t xml:space="preserve">1. Limitations of Binary Governance Evaluation</w:t>
      </w:r>
    </w:p>
    <w:p>
      <w:pPr>
        <w:spacing w:after="120"/>
      </w:pPr>
      <w:r>
        <w:rPr>
          <w:rFonts w:ascii="Arial" w:cs="Arial" w:eastAsia="Arial" w:hAnsi="Arial"/>
          <w:sz w:val="24"/>
          <w:szCs w:val="24"/>
        </w:rPr>
        <w:t xml:space="preserve">Binary governance evaluation (COMPLIANT/NON-COMPLIANT) suffers from three fundamental limitations:</w:t>
      </w:r>
    </w:p>
    <w:p>
      <w:r>
        <w:t xml:space="preserve"/>
      </w:r>
    </w:p>
    <w:p>
      <w:pPr>
        <w:spacing w:after="120"/>
      </w:pPr>
      <w:r>
        <w:rPr>
          <w:rFonts w:ascii="Arial" w:cs="Arial" w:eastAsia="Arial" w:hAnsi="Arial"/>
          <w:b/>
          <w:bCs/>
          <w:sz w:val="24"/>
          <w:szCs w:val="24"/>
        </w:rPr>
        <w:t xml:space="preserve">Temporal blindness: </w:t>
      </w:r>
      <w:r>
        <w:rPr>
          <w:rFonts w:ascii="Arial" w:cs="Arial" w:eastAsia="Arial" w:hAnsi="Arial"/>
          <w:sz w:val="24"/>
          <w:szCs w:val="24"/>
        </w:rPr>
        <w:t xml:space="preserve">A system that was compliant yesterday and non-compliant today receives the same label as one that has been consistently deteriorating for weeks.</w:t>
      </w:r>
    </w:p>
    <w:p>
      <w:pPr>
        <w:spacing w:after="120"/>
      </w:pPr>
      <w:r>
        <w:rPr>
          <w:rFonts w:ascii="Arial" w:cs="Arial" w:eastAsia="Arial" w:hAnsi="Arial"/>
          <w:b/>
          <w:bCs/>
          <w:sz w:val="24"/>
          <w:szCs w:val="24"/>
        </w:rPr>
        <w:t xml:space="preserve">Dimensional collapse: </w:t>
      </w:r>
      <w:r>
        <w:rPr>
          <w:rFonts w:ascii="Arial" w:cs="Arial" w:eastAsia="Arial" w:hAnsi="Arial"/>
          <w:sz w:val="24"/>
          <w:szCs w:val="24"/>
        </w:rPr>
        <w:t xml:space="preserve">A system with excellent record quality but poor protocol fidelity receives the same label as one with the opposite profile.</w:t>
      </w:r>
    </w:p>
    <w:p>
      <w:pPr>
        <w:spacing w:after="120"/>
      </w:pPr>
      <w:r>
        <w:rPr>
          <w:rFonts w:ascii="Arial" w:cs="Arial" w:eastAsia="Arial" w:hAnsi="Arial"/>
          <w:b/>
          <w:bCs/>
          <w:sz w:val="24"/>
          <w:szCs w:val="24"/>
        </w:rPr>
        <w:t xml:space="preserve">Threshold arbitrariness: </w:t>
      </w:r>
      <w:r>
        <w:rPr>
          <w:rFonts w:ascii="Arial" w:cs="Arial" w:eastAsia="Arial" w:hAnsi="Arial"/>
          <w:sz w:val="24"/>
          <w:szCs w:val="24"/>
        </w:rPr>
        <w:t xml:space="preserve">The compliance threshold is necessarily arbitrary. Small changes near the threshold produce large label changes.</w:t>
      </w:r>
    </w:p>
    <w:p>
      <w:r>
        <w:t xml:space="preserve"/>
      </w:r>
    </w:p>
    <w:p>
      <w:pPr>
        <w:spacing w:after="120"/>
      </w:pPr>
      <w:r>
        <w:rPr>
          <w:rFonts w:ascii="Arial" w:cs="Arial" w:eastAsia="Arial" w:hAnsi="Arial"/>
          <w:sz w:val="24"/>
          <w:szCs w:val="24"/>
        </w:rPr>
        <w:t xml:space="preserve">The Fluid Coordinate Model addresses all three limitations by replacing labels with coordinates.</w:t>
      </w:r>
    </w:p>
    <w:p>
      <w:r>
        <w:t xml:space="preserve"/>
      </w:r>
    </w:p>
    <w:p>
      <w:pPr>
        <w:pStyle w:val="Heading1"/>
      </w:pPr>
      <w:r>
        <w:rPr>
          <w:rFonts w:ascii="Arial" w:cs="Arial" w:eastAsia="Arial" w:hAnsi="Arial"/>
          <w:b/>
          <w:bCs/>
          <w:sz w:val="32"/>
          <w:szCs w:val="32"/>
        </w:rPr>
        <w:t xml:space="preserve">2. Model Definition</w:t>
      </w:r>
    </w:p>
    <w:p>
      <w:pPr>
        <w:pStyle w:val="Heading2"/>
      </w:pPr>
      <w:r>
        <w:rPr>
          <w:rFonts w:ascii="Arial" w:cs="Arial" w:eastAsia="Arial" w:hAnsi="Arial"/>
          <w:b/>
          <w:bCs/>
          <w:sz w:val="28"/>
          <w:szCs w:val="28"/>
        </w:rPr>
        <w:t xml:space="preserve">2.1 Coordinate System</w:t>
      </w:r>
    </w:p>
    <w:p>
      <w:pPr>
        <w:spacing w:after="120"/>
        <w:jc w:val="center"/>
      </w:pPr>
      <w:r>
        <w:rPr>
          <w:rFonts w:ascii="Courier New" w:cs="Courier New" w:eastAsia="Courier New" w:hAnsi="Courier New"/>
          <w:b/>
          <w:bCs/>
          <w:color w:val="2E4057"/>
          <w:sz w:val="28"/>
          <w:szCs w:val="28"/>
        </w:rPr>
        <w:t xml:space="preserve">P(t) = (X(t), Y(t), Z(t))</w:t>
      </w:r>
    </w:p>
    <w:p>
      <w:r>
        <w:t xml:space="preserve"/>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1660"/>
      </w:tblGrid>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Axis</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Operational Definition</w:t>
            </w:r>
          </w:p>
        </w:tc>
        <w:tc>
          <w:tcPr>
            <w:tcW w:type="dxa" w:w="1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MoCKA Value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Protocol Fidelity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Fraction of AI interactions following institutional protocol without deviation</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0.632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Record Quality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Mean completeness score of 5W1H fields across all events (0-1 per field)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0.826</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Governance Stability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Consistency of enforcement: 1 - (std_dev of incident rate over rolling 7-day window)</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0.819</w:t>
            </w:r>
          </w:p>
        </w:tc>
      </w:tr>
    </w:tbl>
    <w:p>
      <w:r>
        <w:t xml:space="preserve"/>
      </w:r>
    </w:p>
    <w:p>
      <w:pPr>
        <w:pStyle w:val="Heading2"/>
      </w:pPr>
      <w:r>
        <w:rPr>
          <w:rFonts w:ascii="Arial" w:cs="Arial" w:eastAsia="Arial" w:hAnsi="Arial"/>
          <w:b/>
          <w:bCs/>
          <w:sz w:val="28"/>
          <w:szCs w:val="28"/>
        </w:rPr>
        <w:t xml:space="preserve">2.2 Trajectory Analysis</w:t>
      </w:r>
    </w:p>
    <w:p>
      <w:pPr>
        <w:spacing w:after="120"/>
      </w:pPr>
      <w:r>
        <w:rPr>
          <w:rFonts w:ascii="Arial" w:cs="Arial" w:eastAsia="Arial" w:hAnsi="Arial"/>
          <w:sz w:val="24"/>
          <w:szCs w:val="24"/>
        </w:rPr>
        <w:t xml:space="preserve">Governance health is assessed not by position but by trajectory: the direction and velocity of P(t) movement through state space.</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Trajectory Pattern</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Interpretation</w:t>
            </w:r>
          </w:p>
        </w:tc>
        <w:tc>
          <w:tcPr>
            <w:tcW w:type="dxa" w:w="3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Recommended Response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All axes stable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Mature governance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Maintain current protocols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Z declining, X/Y stable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Detection improving (diagnostic effect)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Investigate newly visible issues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X declining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Protocol compliance weakening</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Reinforce institutional constraints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 declining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Record quality degrading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Audit recording pipeline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All axes declining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Systemic governance failure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Emergency Human Gate activation</w:t>
            </w:r>
          </w:p>
        </w:tc>
      </w:tr>
    </w:tbl>
    <w:p>
      <w:r>
        <w:t xml:space="preserve"/>
      </w:r>
    </w:p>
    <w:p>
      <w:pPr>
        <w:pStyle w:val="Heading2"/>
      </w:pPr>
      <w:r>
        <w:rPr>
          <w:rFonts w:ascii="Arial" w:cs="Arial" w:eastAsia="Arial" w:hAnsi="Arial"/>
          <w:b/>
          <w:bCs/>
          <w:sz w:val="28"/>
          <w:szCs w:val="28"/>
        </w:rPr>
        <w:t xml:space="preserve">2.3 The Diagnostic Technology Effect</w:t>
      </w:r>
    </w:p>
    <w:p>
      <w:pPr>
        <w:spacing w:after="120"/>
      </w:pPr>
      <w:r>
        <w:rPr>
          <w:rFonts w:ascii="Arial" w:cs="Arial" w:eastAsia="Arial" w:hAnsi="Arial"/>
          <w:sz w:val="24"/>
          <w:szCs w:val="24"/>
        </w:rPr>
        <w:t xml:space="preserve">A counterintuitive but critical phenomenon: Z-axis decline following governance system deployment does not indicate governance failure. It indicates improved detection of previously invisible failures.</w:t>
      </w:r>
    </w:p>
    <w:p>
      <w:r>
        <w:t xml:space="preserve"/>
      </w:r>
    </w:p>
    <w:p>
      <w:pPr>
        <w:spacing w:after="120"/>
      </w:pPr>
      <w:r>
        <w:rPr>
          <w:rFonts w:ascii="Arial" w:cs="Arial" w:eastAsia="Arial" w:hAnsi="Arial"/>
          <w:sz w:val="24"/>
          <w:szCs w:val="24"/>
        </w:rPr>
        <w:t xml:space="preserve">MoCKA empirical data: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2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Period</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Z Value</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Incident Detection Rate</w:t>
            </w:r>
          </w:p>
        </w:tc>
        <w:tc>
          <w:tcPr>
            <w:tcW w:type="dxa" w:w="3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Interpretation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Pre-MoCKA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0.959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 (α=0.027)</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High Z, low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Post-MoCKA (initial)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0.654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 (α≈1.0)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Z drops as detection improves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Post-intervention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0.819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~100%</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Z recovers as issues resolved</w:t>
            </w:r>
          </w:p>
        </w:tc>
      </w:tr>
    </w:tbl>
    <w:p>
      <w:r>
        <w:t xml:space="preserve"/>
      </w:r>
    </w:p>
    <w:p>
      <w:pPr>
        <w:spacing w:after="120"/>
      </w:pPr>
      <w:r>
        <w:rPr>
          <w:rFonts w:ascii="Arial" w:cs="Arial" w:eastAsia="Arial" w:hAnsi="Arial"/>
          <w:sz w:val="24"/>
          <w:szCs w:val="24"/>
        </w:rPr>
        <w:t xml:space="preserve">This pattern — Z decline followed by recovery — is the signature of a functioning governance system, not a failing one.</w:t>
      </w:r>
    </w:p>
    <w:p>
      <w:r>
        <w:t xml:space="preserve"/>
      </w:r>
    </w:p>
    <w:p>
      <w:pPr>
        <w:pStyle w:val="Heading1"/>
      </w:pPr>
      <w:r>
        <w:rPr>
          <w:rFonts w:ascii="Arial" w:cs="Arial" w:eastAsia="Arial" w:hAnsi="Arial"/>
          <w:b/>
          <w:bCs/>
          <w:sz w:val="32"/>
          <w:szCs w:val="32"/>
        </w:rPr>
        <w:t xml:space="preserve">3. Implementation</w:t>
      </w:r>
    </w:p>
    <w:p>
      <w:pPr>
        <w:spacing w:after="120"/>
      </w:pPr>
      <w:r>
        <w:rPr>
          <w:rFonts w:ascii="Arial" w:cs="Arial" w:eastAsia="Arial" w:hAnsi="Arial"/>
          <w:sz w:val="24"/>
          <w:szCs w:val="24"/>
        </w:rPr>
        <w:t xml:space="preserve">The fluid coordinate model is implemented in MoCKA through:</w:t>
      </w:r>
    </w:p>
    <w:p>
      <w:r>
        <w:t xml:space="preserve"/>
      </w:r>
    </w:p>
    <w:p>
      <w:pPr>
        <w:spacing w:after="120"/>
      </w:pPr>
      <w:r>
        <w:rPr>
          <w:rFonts w:ascii="Arial" w:cs="Arial" w:eastAsia="Arial" w:hAnsi="Arial"/>
          <w:b/>
          <w:bCs/>
          <w:sz w:val="24"/>
          <w:szCs w:val="24"/>
        </w:rPr>
        <w:t xml:space="preserve">evaluator_dynamic.py: </w:t>
      </w:r>
      <w:r>
        <w:rPr>
          <w:rFonts w:ascii="Arial" w:cs="Arial" w:eastAsia="Arial" w:hAnsi="Arial"/>
          <w:sz w:val="24"/>
          <w:szCs w:val="24"/>
        </w:rPr>
        <w:t xml:space="preserve">Computes X, Y, Z values from events.csv on demand.</w:t>
      </w:r>
    </w:p>
    <w:p>
      <w:pPr>
        <w:spacing w:after="120"/>
      </w:pPr>
      <w:r>
        <w:rPr>
          <w:rFonts w:ascii="Arial" w:cs="Arial" w:eastAsia="Arial" w:hAnsi="Arial"/>
          <w:b/>
          <w:bCs/>
          <w:sz w:val="24"/>
          <w:szCs w:val="24"/>
        </w:rPr>
        <w:t xml:space="preserve">trajectory.csv: </w:t>
      </w:r>
      <w:r>
        <w:rPr>
          <w:rFonts w:ascii="Arial" w:cs="Arial" w:eastAsia="Arial" w:hAnsi="Arial"/>
          <w:sz w:val="24"/>
          <w:szCs w:val="24"/>
        </w:rPr>
        <w:t xml:space="preserve">325-row time series of P(t) values enabling trend analysis.</w:t>
      </w:r>
    </w:p>
    <w:p>
      <w:pPr>
        <w:spacing w:after="120"/>
      </w:pPr>
      <w:r>
        <w:rPr>
          <w:rFonts w:ascii="Arial" w:cs="Arial" w:eastAsia="Arial" w:hAnsi="Arial"/>
          <w:b/>
          <w:bCs/>
          <w:sz w:val="24"/>
          <w:szCs w:val="24"/>
        </w:rPr>
        <w:t xml:space="preserve">deviation_classifier.py: </w:t>
      </w:r>
      <w:r>
        <w:rPr>
          <w:rFonts w:ascii="Arial" w:cs="Arial" w:eastAsia="Arial" w:hAnsi="Arial"/>
          <w:sz w:val="24"/>
          <w:szCs w:val="24"/>
        </w:rPr>
        <w:t xml:space="preserve">Classifies trajectory patterns into 7 deviation types including FAST_WRONG, SLOW_DRIFT, and DIAGNOSTIC_EFFECT.</w:t>
      </w:r>
    </w:p>
    <w:p>
      <w:pPr>
        <w:spacing w:after="120"/>
      </w:pPr>
      <w:r>
        <w:rPr>
          <w:rFonts w:ascii="Arial" w:cs="Arial" w:eastAsia="Arial" w:hAnsi="Arial"/>
          <w:b/>
          <w:bCs/>
          <w:sz w:val="24"/>
          <w:szCs w:val="24"/>
        </w:rPr>
        <w:t xml:space="preserve">distribution_engine.py: </w:t>
      </w:r>
      <w:r>
        <w:rPr>
          <w:rFonts w:ascii="Arial" w:cs="Arial" w:eastAsia="Arial" w:hAnsi="Arial"/>
          <w:sz w:val="24"/>
          <w:szCs w:val="24"/>
        </w:rPr>
        <w:t xml:space="preserve">Computes confidence intervals: L2=0.821.</w:t>
      </w:r>
    </w:p>
    <w:p>
      <w:r>
        <w:t xml:space="preserve"/>
      </w:r>
    </w:p>
    <w:p>
      <w:pPr>
        <w:pStyle w:val="Heading1"/>
      </w:pPr>
      <w:r>
        <w:rPr>
          <w:rFonts w:ascii="Arial" w:cs="Arial" w:eastAsia="Arial" w:hAnsi="Arial"/>
          <w:b/>
          <w:bCs/>
          <w:sz w:val="32"/>
          <w:szCs w:val="32"/>
        </w:rPr>
        <w:t xml:space="preserve">4. Conclusion</w:t>
      </w:r>
    </w:p>
    <w:p>
      <w:pPr>
        <w:spacing w:after="120"/>
      </w:pPr>
      <w:r>
        <w:rPr>
          <w:rFonts w:ascii="Arial" w:cs="Arial" w:eastAsia="Arial" w:hAnsi="Arial"/>
          <w:sz w:val="24"/>
          <w:szCs w:val="24"/>
        </w:rPr>
        <w:t xml:space="preserve">The Fluid Coordinate Model transforms AI governance evaluation from a binary judgment into a continuous trajectory analysis. By tracking P(t) = (X(t), Y(t), Z(t)) over time, governance practitioners can distinguish genuine decline from the diagnostic technology effect, identify structural weaknesses by axis, and respond proportionally to trajectory patterns. The model is implemented and validated in the MoCKA system.</w:t>
      </w:r>
    </w:p>
    <w:p>
      <w:r>
        <w:t xml:space="preserve"/>
      </w:r>
    </w:p>
    <w:p>
      <w:pPr>
        <w:pStyle w:val="Heading1"/>
      </w:pPr>
      <w:r>
        <w:rPr>
          <w:rFonts w:ascii="Arial" w:cs="Arial" w:eastAsia="Arial" w:hAnsi="Arial"/>
          <w:b/>
          <w:bCs/>
          <w:sz w:val="32"/>
          <w:szCs w:val="32"/>
        </w:rPr>
        <w:t xml:space="preserve">References</w:t>
      </w:r>
    </w:p>
    <w:p>
      <w:pPr>
        <w:spacing w:after="120"/>
      </w:pPr>
      <w:r>
        <w:rPr>
          <w:rFonts w:ascii="Arial" w:cs="Arial" w:eastAsia="Arial" w:hAnsi="Arial"/>
          <w:sz w:val="24"/>
          <w:szCs w:val="24"/>
        </w:rPr>
        <w:t xml:space="preserve">[1] Kimura, M. (2026). Governing AI by Evidence, Not Faith. Zenodo. DOI: 10.5281/zenodo.19503666</w:t>
      </w:r>
    </w:p>
    <w:p>
      <w:pPr>
        <w:spacing w:after="120"/>
      </w:pPr>
      <w:r>
        <w:rPr>
          <w:rFonts w:ascii="Arial" w:cs="Arial" w:eastAsia="Arial" w:hAnsi="Arial"/>
          <w:sz w:val="24"/>
          <w:szCs w:val="24"/>
        </w:rPr>
        <w:t xml:space="preserve">[2] Wiener, N. (1948). Cybernetics. MIT Press.</w:t>
      </w:r>
    </w:p>
    <w:p>
      <w:pPr>
        <w:spacing w:after="120"/>
      </w:pPr>
      <w:r>
        <w:rPr>
          <w:rFonts w:ascii="Arial" w:cs="Arial" w:eastAsia="Arial" w:hAnsi="Arial"/>
          <w:sz w:val="24"/>
          <w:szCs w:val="24"/>
        </w:rPr>
        <w:t xml:space="preserve">[3] Majors, C. et al. (2022). Observability Engineering. O'Reilly.</w:t>
      </w:r>
    </w:p>
    <w:p>
      <w:r>
        <w:t xml:space="preserve"/>
      </w:r>
    </w:p>
    <w:p>
      <w:pPr>
        <w:pBdr>
          <w:top w:val="single" w:color="CCCCCC" w:sz="1"/>
        </w:pBdr>
        <w:spacing w:before="240"/>
        <w:jc w:val="center"/>
      </w:pPr>
      <w:r>
        <w:rPr>
          <w:rFonts w:ascii="Arial" w:cs="Arial" w:eastAsia="Arial" w:hAnsi="Arial"/>
          <w:color w:val="888888"/>
          <w:sz w:val="18"/>
          <w:szCs w:val="18"/>
        </w:rPr>
        <w:t xml:space="preserve">MoCKA Technical Note #4 | 2026-04-11 | Kimura, M. &amp; Claude (Anthropic) | CC BY-NC 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7B2D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2026-04-11T02:50:45.338Z</dcterms:created>
  <dcterms:modified xsi:type="dcterms:W3CDTF">2026-04-11T02:50:45.338Z</dcterms:modified>
</cp:coreProperties>
</file>

<file path=docProps/custom.xml><?xml version="1.0" encoding="utf-8"?>
<Properties xmlns="http://schemas.openxmlformats.org/officeDocument/2006/custom-properties" xmlns:vt="http://schemas.openxmlformats.org/officeDocument/2006/docPropsVTypes"/>
</file>