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Anthropic Claude 5 Kanonik Boylamsal Klinik Konsültasyon Raporu — 16.09.2026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1" w:name="X821f985a7b9f6dbe19bfcc43c831a0a9267de14"/>
    <w:p>
      <w:pPr>
        <w:pStyle w:val="Heading1"/>
      </w:pPr>
      <w:r>
        <w:t xml:space="preserve">Kanonik Boylamsal Klinik Konsültasyon Raporu</w:t>
      </w:r>
    </w:p>
    <w:bookmarkStart w:id="9" w:name="X7d70cc73c2bf9d6adde56d9b7b7da2f2bea952b"/>
    <w:p>
      <w:pPr>
        <w:pStyle w:val="Heading2"/>
      </w:pPr>
      <w:r>
        <w:t xml:space="preserve">Alaattin SÖNMEZ (64E) — Bentall Prosedürü Sonrası 208. Gün</w:t>
      </w:r>
    </w:p>
    <w:p>
      <w:pPr>
        <w:pStyle w:val="FirstParagraph"/>
      </w:pPr>
      <w:r>
        <w:rPr>
          <w:b/>
          <w:bCs/>
        </w:rPr>
        <w:t xml:space="preserve">Rapor Tarihi:</w:t>
      </w:r>
      <w:r>
        <w:t xml:space="preserve"> </w:t>
      </w:r>
      <w:r>
        <w:t xml:space="preserve">16 Eylül 2026</w:t>
      </w:r>
      <w:r>
        <w:t xml:space="preserve"> </w:t>
      </w:r>
      <w:r>
        <w:rPr>
          <w:b/>
          <w:bCs/>
        </w:rPr>
        <w:t xml:space="preserve">Analiz Ajanı:</w:t>
      </w:r>
      <w:r>
        <w:t xml:space="preserve"> </w:t>
      </w:r>
      <w:r>
        <w:t xml:space="preserve">Anthropic Claude 5 — Boylamsal Klinik Veri Madenciliği &amp; Biyoistatistiksel Modelleme</w:t>
      </w:r>
      <w:r>
        <w:t xml:space="preserve"> </w:t>
      </w:r>
      <w:r>
        <w:rPr>
          <w:b/>
          <w:bCs/>
        </w:rPr>
        <w:t xml:space="preserve">Sürüm:</w:t>
      </w:r>
      <w:r>
        <w:t xml:space="preserve"> </w:t>
      </w:r>
      <w:r>
        <w:t xml:space="preserve">Kanonik Konsolide (v1 + v2 + v3 birleşimi; önceki sürümler geçersizdir)</w:t>
      </w:r>
      <w:r>
        <w:t xml:space="preserve"> </w:t>
      </w:r>
      <w:r>
        <w:rPr>
          <w:b/>
          <w:bCs/>
        </w:rPr>
        <w:t xml:space="preserve">Tek Gerçek Veri Kaynağı:</w:t>
      </w:r>
      <w:r>
        <w:t xml:space="preserve"> </w:t>
      </w:r>
      <w:r>
        <w:rPr>
          <w:rStyle w:val="VerbatimChar"/>
        </w:rPr>
        <w:t xml:space="preserve">tmp/2026-09-16_10-33-58_alaattin-sonmez_all-data.json</w:t>
      </w:r>
      <w:r>
        <w:t xml:space="preserve"> </w:t>
      </w:r>
      <w:r>
        <w:t xml:space="preserve">(dışa aktarım: 16.09.2026 07:33:58 UTC, kapsam: All-Time)</w:t>
      </w:r>
    </w:p>
    <w:p>
      <w:r>
        <w:pict>
          <v:rect style="width:0;height:1.5pt" o:hralign="center" o:hrstd="t" o:hr="t"/>
        </w:pict>
      </w:r>
    </w:p>
    <w:bookmarkEnd w:id="9"/>
    <w:bookmarkStart w:id="10" w:name="künye-ve-veri-kapsamı"/>
    <w:p>
      <w:pPr>
        <w:pStyle w:val="Heading2"/>
      </w:pPr>
      <w:r>
        <w:t xml:space="preserve">Künye ve Veri Kapsamı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Alan</w:t>
            </w:r>
          </w:p>
        </w:tc>
        <w:tc>
          <w:tcPr/>
          <w:p>
            <w:pPr>
              <w:pStyle w:val="Compact"/>
            </w:pPr>
            <w:r>
              <w:t xml:space="preserve">Değer</w:t>
            </w:r>
          </w:p>
        </w:tc>
      </w:tr>
      <w:tr>
        <w:tc>
          <w:tcPr/>
          <w:p>
            <w:pPr>
              <w:pStyle w:val="Compact"/>
            </w:pPr>
            <w:r>
              <w:t xml:space="preserve">Hasta</w:t>
            </w:r>
          </w:p>
        </w:tc>
        <w:tc>
          <w:tcPr/>
          <w:p>
            <w:pPr>
              <w:pStyle w:val="Compact"/>
            </w:pPr>
            <w:r>
              <w:t xml:space="preserve">Alaattin Sönmez, Erkek, 64 yaş (d. 1962), boy 174 cm</w:t>
            </w:r>
          </w:p>
        </w:tc>
      </w:tr>
      <w:tr>
        <w:tc>
          <w:tcPr/>
          <w:p>
            <w:pPr>
              <w:pStyle w:val="Compact"/>
            </w:pPr>
            <w:r>
              <w:t xml:space="preserve">İndeks olay</w:t>
            </w:r>
          </w:p>
        </w:tc>
        <w:tc>
          <w:tcPr/>
          <w:p>
            <w:pPr>
              <w:pStyle w:val="Compact"/>
            </w:pPr>
            <w:r>
              <w:t xml:space="preserve">19 Şubat 2026 — Akut Tip A aort diseksiyonu + ciddi aort yetmezliği</w:t>
            </w:r>
          </w:p>
        </w:tc>
      </w:tr>
      <w:tr>
        <w:tc>
          <w:tcPr/>
          <w:p>
            <w:pPr>
              <w:pStyle w:val="Compact"/>
            </w:pPr>
            <w:r>
              <w:t xml:space="preserve">Cerrahi</w:t>
            </w:r>
          </w:p>
        </w:tc>
        <w:tc>
          <w:tcPr/>
          <w:p>
            <w:pPr>
              <w:pStyle w:val="Compact"/>
            </w:pPr>
            <w:r>
              <w:t xml:space="preserve">20 Şubat 2026 — Bentall prosedürü (derin hipotermik sirkülatuar arrest)</w:t>
            </w:r>
          </w:p>
        </w:tc>
      </w:tr>
      <w:tr>
        <w:tc>
          <w:tcPr/>
          <w:p>
            <w:pPr>
              <w:pStyle w:val="Compact"/>
            </w:pPr>
            <w:r>
              <w:t xml:space="preserve">Postoperatif gün</w:t>
            </w:r>
          </w:p>
        </w:tc>
        <w:tc>
          <w:tcPr/>
          <w:p>
            <w:pPr>
              <w:pStyle w:val="Compact"/>
            </w:pPr>
            <w:r>
              <w:t xml:space="preserve">208 (semptom başlangıcından 209 gün / 6.9 ay)</w:t>
            </w:r>
          </w:p>
        </w:tc>
      </w:tr>
      <w:tr>
        <w:tc>
          <w:tcPr/>
          <w:p>
            <w:pPr>
              <w:pStyle w:val="Compact"/>
            </w:pPr>
            <w:r>
              <w:t xml:space="preserve">Laboratuvar ölçümü</w:t>
            </w:r>
          </w:p>
        </w:tc>
        <w:tc>
          <w:tcPr/>
          <w:p>
            <w:pPr>
              <w:pStyle w:val="Compact"/>
            </w:pPr>
            <w:r>
              <w:t xml:space="preserve">2.071 sonuç, 92 test paneli (son panel Test #93)</w:t>
            </w:r>
          </w:p>
        </w:tc>
      </w:tr>
      <w:tr>
        <w:tc>
          <w:tcPr/>
          <w:p>
            <w:pPr>
              <w:pStyle w:val="Compact"/>
            </w:pPr>
            <w:r>
              <w:t xml:space="preserve">Distinkt sayısal biyobelirteç</w:t>
            </w:r>
          </w:p>
        </w:tc>
        <w:tc>
          <w:tcPr/>
          <w:p>
            <w:pPr>
              <w:pStyle w:val="Compact"/>
            </w:pPr>
            <w:r>
              <w:rPr>
                <w:b/>
                <w:bCs/>
              </w:rPr>
              <w:t xml:space="preserve">108 parametre</w:t>
            </w:r>
            <w:r>
              <w:t xml:space="preserve"> </w:t>
            </w:r>
            <w:r>
              <w:t xml:space="preserve">(136 distinkt isimden sayısal sonuç üretenler)</w:t>
            </w:r>
          </w:p>
        </w:tc>
      </w:tr>
      <w:tr>
        <w:tc>
          <w:tcPr/>
          <w:p>
            <w:pPr>
              <w:pStyle w:val="Compact"/>
            </w:pPr>
            <w:r>
              <w:t xml:space="preserve">Tansiyon kaydı</w:t>
            </w:r>
          </w:p>
        </w:tc>
        <w:tc>
          <w:tcPr/>
          <w:p>
            <w:pPr>
              <w:pStyle w:val="Compact"/>
            </w:pPr>
            <w:r>
              <w:t xml:space="preserve">500 ölçüm (07.03.2026 – 15.09.2026)</w:t>
            </w:r>
          </w:p>
        </w:tc>
      </w:tr>
      <w:tr>
        <w:tc>
          <w:tcPr/>
          <w:p>
            <w:pPr>
              <w:pStyle w:val="Compact"/>
            </w:pPr>
            <w:r>
              <w:t xml:space="preserve">Kilo kaydı</w:t>
            </w:r>
          </w:p>
        </w:tc>
        <w:tc>
          <w:tcPr/>
          <w:p>
            <w:pPr>
              <w:pStyle w:val="Compact"/>
            </w:pPr>
            <w:r>
              <w:t xml:space="preserve">180 ölçüm (04.03.2026 – 16.09.2026)</w:t>
            </w:r>
          </w:p>
        </w:tc>
      </w:tr>
      <w:tr>
        <w:tc>
          <w:tcPr/>
          <w:p>
            <w:pPr>
              <w:pStyle w:val="Compact"/>
            </w:pPr>
            <w:r>
              <w:t xml:space="preserve">Farmakoterapi</w:t>
            </w:r>
          </w:p>
        </w:tc>
        <w:tc>
          <w:tcPr/>
          <w:p>
            <w:pPr>
              <w:pStyle w:val="Compact"/>
            </w:pPr>
            <w:r>
              <w:t xml:space="preserve">21 tanımlı ilaç, 67 doz/başlama/kesme değişikliği, 1.213 alım logu</w:t>
            </w:r>
          </w:p>
        </w:tc>
      </w:tr>
      <w:tr>
        <w:tc>
          <w:tcPr/>
          <w:p>
            <w:pPr>
              <w:pStyle w:val="Compact"/>
            </w:pPr>
            <w:r>
              <w:t xml:space="preserve">INR ölçümü</w:t>
            </w:r>
          </w:p>
        </w:tc>
        <w:tc>
          <w:tcPr/>
          <w:p>
            <w:pPr>
              <w:pStyle w:val="Compact"/>
            </w:pPr>
            <w:r>
              <w:t xml:space="preserve">40 (19.02.2026 – 15.09.2026)</w:t>
            </w:r>
          </w:p>
        </w:tc>
      </w:tr>
      <w:tr>
        <w:tc>
          <w:tcPr/>
          <w:p>
            <w:pPr>
              <w:pStyle w:val="Compact"/>
            </w:pPr>
            <w:r>
              <w:t xml:space="preserve">Radyoloji/epikriz</w:t>
            </w:r>
          </w:p>
        </w:tc>
        <w:tc>
          <w:tcPr/>
          <w:p>
            <w:pPr>
              <w:pStyle w:val="Compact"/>
            </w:pPr>
            <w:r>
              <w:t xml:space="preserve">12 rapor</w:t>
            </w:r>
          </w:p>
        </w:tc>
      </w:tr>
    </w:tbl>
    <w:p>
      <w:pPr>
        <w:pStyle w:val="BodyText"/>
      </w:pPr>
      <w:r>
        <w:rPr>
          <w:b/>
          <w:bCs/>
        </w:rPr>
        <w:t xml:space="preserve">İmplantlar:</w:t>
      </w:r>
      <w:r>
        <w:t xml:space="preserve"> </w:t>
      </w:r>
      <w:r>
        <w:t xml:space="preserve">CORCYM Carbomedics Standard Aortik, 25 mm çift yapraklı mekanik protez (seri S1652402-A) · MAQUET Intergard Bovine, 32 mm × 30 cm dokuma polyester vasküler greft (seri 1613646957).</w:t>
      </w:r>
    </w:p>
    <w:p>
      <w:r>
        <w:pict>
          <v:rect style="width:0;height:1.5pt" o:hralign="center" o:hrstd="t" o:hr="t"/>
        </w:pict>
      </w:r>
    </w:p>
    <w:bookmarkEnd w:id="10"/>
    <w:bookmarkStart w:id="13" w:name="X90ca7b09d969887666e912c77298beb46afa818"/>
    <w:p>
      <w:pPr>
        <w:pStyle w:val="Heading2"/>
      </w:pPr>
      <w:r>
        <w:t xml:space="preserve">1. Yönetici Özeti — 6 Anahtar Gösterge (KPI)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Gösterge</w:t>
            </w:r>
          </w:p>
        </w:tc>
        <w:tc>
          <w:tcPr/>
          <w:p>
            <w:pPr>
              <w:pStyle w:val="Compact"/>
            </w:pPr>
            <w:r>
              <w:t xml:space="preserve">Değer</w:t>
            </w:r>
          </w:p>
        </w:tc>
        <w:tc>
          <w:tcPr/>
          <w:p>
            <w:pPr>
              <w:pStyle w:val="Compact"/>
            </w:pPr>
            <w:r>
              <w:t xml:space="preserve">Tarih</w:t>
            </w:r>
          </w:p>
        </w:tc>
        <w:tc>
          <w:tcPr/>
          <w:p>
            <w:pPr>
              <w:pStyle w:val="Compact"/>
            </w:pPr>
            <w:r>
              <w:t xml:space="preserve">Durum</w:t>
            </w:r>
          </w:p>
        </w:tc>
      </w:tr>
      <w:tr>
        <w:tc>
          <w:tcPr/>
          <w:p>
            <w:pPr>
              <w:pStyle w:val="Compact"/>
            </w:pPr>
            <w:r>
              <w:t xml:space="preserve">1</w:t>
            </w:r>
          </w:p>
        </w:tc>
        <w:tc>
          <w:tcPr/>
          <w:p>
            <w:pPr>
              <w:pStyle w:val="Compact"/>
            </w:pPr>
            <w:r>
              <w:t xml:space="preserve">Kan basıncı (7 günlük ortalama)</w:t>
            </w:r>
          </w:p>
        </w:tc>
        <w:tc>
          <w:tcPr/>
          <w:p>
            <w:pPr>
              <w:pStyle w:val="Compact"/>
            </w:pPr>
            <w:r>
              <w:rPr>
                <w:b/>
                <w:bCs/>
              </w:rPr>
              <w:t xml:space="preserve">113/76 mmHg</w:t>
            </w:r>
          </w:p>
        </w:tc>
        <w:tc>
          <w:tcPr/>
          <w:p>
            <w:pPr>
              <w:pStyle w:val="Compact"/>
            </w:pPr>
            <w:r>
              <w:t xml:space="preserve">09–15.09.2026 (n=14)</w:t>
            </w:r>
          </w:p>
        </w:tc>
        <w:tc>
          <w:tcPr/>
          <w:p>
            <w:pPr>
              <w:pStyle w:val="Compact"/>
            </w:pPr>
            <w:r>
              <w:t xml:space="preserve">Hedefte</w:t>
            </w:r>
          </w:p>
        </w:tc>
      </w:tr>
      <w:tr>
        <w:tc>
          <w:tcPr/>
          <w:p>
            <w:pPr>
              <w:pStyle w:val="Compact"/>
            </w:pPr>
            <w:r>
              <w:t xml:space="preserve">2</w:t>
            </w:r>
          </w:p>
        </w:tc>
        <w:tc>
          <w:tcPr/>
          <w:p>
            <w:pPr>
              <w:pStyle w:val="Compact"/>
            </w:pPr>
            <w:r>
              <w:t xml:space="preserve">INR</w:t>
            </w:r>
          </w:p>
        </w:tc>
        <w:tc>
          <w:tcPr/>
          <w:p>
            <w:pPr>
              <w:pStyle w:val="Compact"/>
            </w:pPr>
            <w:r>
              <w:rPr>
                <w:b/>
                <w:bCs/>
              </w:rPr>
              <w:t xml:space="preserve">1.95</w:t>
            </w:r>
          </w:p>
        </w:tc>
        <w:tc>
          <w:tcPr/>
          <w:p>
            <w:pPr>
              <w:pStyle w:val="Compact"/>
            </w:pPr>
            <w:r>
              <w:t xml:space="preserve">15.09.2026</w:t>
            </w:r>
          </w:p>
        </w:tc>
        <w:tc>
          <w:tcPr/>
          <w:p>
            <w:pPr>
              <w:pStyle w:val="Compact"/>
            </w:pPr>
            <w:r>
              <w:rPr>
                <w:b/>
                <w:bCs/>
              </w:rPr>
              <w:t xml:space="preserve">Hedef altı (2.0–3.0)</w:t>
            </w:r>
          </w:p>
        </w:tc>
      </w:tr>
      <w:tr>
        <w:tc>
          <w:tcPr/>
          <w:p>
            <w:pPr>
              <w:pStyle w:val="Compact"/>
            </w:pPr>
            <w:r>
              <w:t xml:space="preserve">3</w:t>
            </w:r>
          </w:p>
        </w:tc>
        <w:tc>
          <w:tcPr/>
          <w:p>
            <w:pPr>
              <w:pStyle w:val="Compact"/>
            </w:pPr>
            <w:r>
              <w:t xml:space="preserve">Hemoglobin</w:t>
            </w:r>
          </w:p>
        </w:tc>
        <w:tc>
          <w:tcPr/>
          <w:p>
            <w:pPr>
              <w:pStyle w:val="Compact"/>
            </w:pPr>
            <w:r>
              <w:rPr>
                <w:b/>
                <w:bCs/>
              </w:rPr>
              <w:t xml:space="preserve">9.7 g/dL</w:t>
            </w:r>
          </w:p>
        </w:tc>
        <w:tc>
          <w:tcPr/>
          <w:p>
            <w:pPr>
              <w:pStyle w:val="Compact"/>
            </w:pPr>
            <w:r>
              <w:t xml:space="preserve">15.09.2026</w:t>
            </w:r>
          </w:p>
        </w:tc>
        <w:tc>
          <w:tcPr/>
          <w:p>
            <w:pPr>
              <w:pStyle w:val="Compact"/>
            </w:pPr>
            <w:r>
              <w:t xml:space="preserve">Anemik — plato</w:t>
            </w:r>
          </w:p>
        </w:tc>
      </w:tr>
      <w:tr>
        <w:tc>
          <w:tcPr/>
          <w:p>
            <w:pPr>
              <w:pStyle w:val="Compact"/>
            </w:pPr>
            <w:r>
              <w:t xml:space="preserve">4</w:t>
            </w:r>
          </w:p>
        </w:tc>
        <w:tc>
          <w:tcPr/>
          <w:p>
            <w:pPr>
              <w:pStyle w:val="Compact"/>
            </w:pPr>
            <w:r>
              <w:t xml:space="preserve">Ferritin</w:t>
            </w:r>
          </w:p>
        </w:tc>
        <w:tc>
          <w:tcPr/>
          <w:p>
            <w:pPr>
              <w:pStyle w:val="Compact"/>
            </w:pPr>
            <w:r>
              <w:rPr>
                <w:b/>
                <w:bCs/>
              </w:rPr>
              <w:t xml:space="preserve">19.0 µg/L</w:t>
            </w:r>
          </w:p>
        </w:tc>
        <w:tc>
          <w:tcPr/>
          <w:p>
            <w:pPr>
              <w:pStyle w:val="Compact"/>
            </w:pPr>
            <w:r>
              <w:t xml:space="preserve">08.09.2026 (Test #90)</w:t>
            </w:r>
          </w:p>
        </w:tc>
        <w:tc>
          <w:tcPr/>
          <w:p>
            <w:pPr>
              <w:pStyle w:val="Compact"/>
            </w:pPr>
            <w:r>
              <w:t xml:space="preserve">Düşük — demir eksikliği</w:t>
            </w:r>
          </w:p>
        </w:tc>
      </w:tr>
      <w:tr>
        <w:tc>
          <w:tcPr/>
          <w:p>
            <w:pPr>
              <w:pStyle w:val="Compact"/>
            </w:pPr>
            <w:r>
              <w:t xml:space="preserve">5</w:t>
            </w:r>
          </w:p>
        </w:tc>
        <w:tc>
          <w:tcPr/>
          <w:p>
            <w:pPr>
              <w:pStyle w:val="Compact"/>
            </w:pPr>
            <w:r>
              <w:t xml:space="preserve">CRP</w:t>
            </w:r>
          </w:p>
        </w:tc>
        <w:tc>
          <w:tcPr/>
          <w:p>
            <w:pPr>
              <w:pStyle w:val="Compact"/>
            </w:pPr>
            <w:r>
              <w:rPr>
                <w:b/>
                <w:bCs/>
              </w:rPr>
              <w:t xml:space="preserve">5.7 mg/L</w:t>
            </w:r>
          </w:p>
        </w:tc>
        <w:tc>
          <w:tcPr/>
          <w:p>
            <w:pPr>
              <w:pStyle w:val="Compact"/>
            </w:pPr>
            <w:r>
              <w:t xml:space="preserve">15.09.2026</w:t>
            </w:r>
          </w:p>
        </w:tc>
        <w:tc>
          <w:tcPr/>
          <w:p>
            <w:pPr>
              <w:pStyle w:val="Compact"/>
            </w:pPr>
            <w:r>
              <w:t xml:space="preserve">Remisyonda (referans sınırında)</w:t>
            </w:r>
          </w:p>
        </w:tc>
      </w:tr>
      <w:tr>
        <w:tc>
          <w:tcPr/>
          <w:p>
            <w:pPr>
              <w:pStyle w:val="Compact"/>
            </w:pPr>
            <w:r>
              <w:t xml:space="preserve">6</w:t>
            </w:r>
          </w:p>
        </w:tc>
        <w:tc>
          <w:tcPr/>
          <w:p>
            <w:pPr>
              <w:pStyle w:val="Compact"/>
            </w:pPr>
            <w:r>
              <w:t xml:space="preserve">Kilo</w:t>
            </w:r>
          </w:p>
        </w:tc>
        <w:tc>
          <w:tcPr/>
          <w:p>
            <w:pPr>
              <w:pStyle w:val="Compact"/>
            </w:pPr>
            <w:r>
              <w:rPr>
                <w:b/>
                <w:bCs/>
              </w:rPr>
              <w:t xml:space="preserve">78.9 kg</w:t>
            </w:r>
            <w:r>
              <w:t xml:space="preserve"> </w:t>
            </w:r>
            <w:r>
              <w:t xml:space="preserve">(BKİ 26.1)</w:t>
            </w:r>
          </w:p>
        </w:tc>
        <w:tc>
          <w:tcPr/>
          <w:p>
            <w:pPr>
              <w:pStyle w:val="Compact"/>
            </w:pPr>
            <w:r>
              <w:t xml:space="preserve">16.09.2026</w:t>
            </w:r>
          </w:p>
        </w:tc>
        <w:tc>
          <w:tcPr/>
          <w:p>
            <w:pPr>
              <w:pStyle w:val="Compact"/>
            </w:pPr>
            <w:r>
              <w:t xml:space="preserve">Stabil</w:t>
            </w:r>
          </w:p>
        </w:tc>
      </w:tr>
    </w:tbl>
    <w:bookmarkStart w:id="11" w:name="tek-cümlelik-durum"/>
    <w:p>
      <w:pPr>
        <w:pStyle w:val="Heading3"/>
      </w:pPr>
      <w:r>
        <w:t xml:space="preserve">Tek Cümlelik Durum</w:t>
      </w:r>
    </w:p>
    <w:p>
      <w:pPr>
        <w:pStyle w:val="FirstParagraph"/>
      </w:pPr>
      <w:r>
        <w:t xml:space="preserve">Hasta 208. postoperatif günde hemodinamik olarak regüle, enflamatuvar olarak remisyonda ve kilo açısından stabildir; buna karşılık</w:t>
      </w:r>
      <w:r>
        <w:t xml:space="preserve"> </w:t>
      </w:r>
      <w:r>
        <w:rPr>
          <w:b/>
          <w:bCs/>
        </w:rPr>
        <w:t xml:space="preserve">mekanik aort kapağı için antikoagülasyon terapötik koridorun altına inmiştir</w:t>
      </w:r>
      <w:r>
        <w:t xml:space="preserve"> </w:t>
      </w:r>
      <w:r>
        <w:t xml:space="preserve">ve mikrositik demir eksikliği anemisi replasman altında henüz yanıt vermemiştir.</w:t>
      </w:r>
    </w:p>
    <w:bookmarkEnd w:id="11"/>
    <w:bookmarkStart w:id="12" w:name="öncelik-sırası"/>
    <w:p>
      <w:pPr>
        <w:pStyle w:val="Heading3"/>
      </w:pPr>
      <w:r>
        <w:t xml:space="preserve">Öncelik Sırası</w:t>
      </w:r>
    </w:p>
    <w:p>
      <w:pPr>
        <w:pStyle w:val="Compact"/>
        <w:numPr>
          <w:ilvl w:val="0"/>
          <w:numId w:val="1001"/>
        </w:numPr>
      </w:pPr>
      <w:r>
        <w:rPr>
          <w:b/>
          <w:bCs/>
        </w:rPr>
        <w:t xml:space="preserve">INR 1.95 — acil hekim teması.</w:t>
      </w:r>
      <w:r>
        <w:t xml:space="preserve"> </w:t>
      </w:r>
      <w:r>
        <w:t xml:space="preserve">Mekanik protez kapaklarda subterapötik INR, valv trombozu ve tromboembolik olay riskini artırır (Praz et al., 2025; Vahanian et al., 2022).</w:t>
      </w:r>
    </w:p>
    <w:p>
      <w:pPr>
        <w:pStyle w:val="Compact"/>
        <w:numPr>
          <w:ilvl w:val="0"/>
          <w:numId w:val="1001"/>
        </w:numPr>
      </w:pPr>
      <w:r>
        <w:rPr>
          <w:b/>
          <w:bCs/>
        </w:rPr>
        <w:t xml:space="preserve">Demir eksikliği anemisi — etiyoloji araştırması.</w:t>
      </w:r>
      <w:r>
        <w:t xml:space="preserve"> </w:t>
      </w:r>
      <w:r>
        <w:t xml:space="preserve">Transferrin satürasyonu %4.4; 64 yaşında erkekte demir eksikliği aksi ispat edilene dek gastrointestinal kayıp varsayılır (Snook et al., 2021).</w:t>
      </w:r>
    </w:p>
    <w:p>
      <w:pPr>
        <w:pStyle w:val="Compact"/>
        <w:numPr>
          <w:ilvl w:val="0"/>
          <w:numId w:val="1001"/>
        </w:numPr>
      </w:pPr>
      <w:r>
        <w:rPr>
          <w:b/>
          <w:bCs/>
        </w:rPr>
        <w:t xml:space="preserve">Rezidüel Tip B flebi — 6. ay görüntüleme gecikmiştir.</w:t>
      </w:r>
      <w:r>
        <w:t xml:space="preserve"> </w:t>
      </w:r>
      <w:r>
        <w:t xml:space="preserve">Son BT anjiyografi 05.05.2026; üzerinden 4.4 ay geçmiştir (Czerny et al., 2024).</w:t>
      </w:r>
    </w:p>
    <w:p>
      <w:r>
        <w:pict>
          <v:rect style="width:0;height:1.5pt" o:hralign="center" o:hrstd="t" o:hr="t"/>
        </w:pict>
      </w:r>
    </w:p>
    <w:bookmarkEnd w:id="12"/>
    <w:bookmarkEnd w:id="13"/>
    <w:bookmarkStart w:id="21" w:name="X4a543ac899483e1c6726f9ecc75447f011e39de"/>
    <w:p>
      <w:pPr>
        <w:pStyle w:val="Heading2"/>
      </w:pPr>
      <w:r>
        <w:t xml:space="preserve">2. Boylamsal Klinik Seyir (19 Şubat – 16 Eylül 2026)</w:t>
      </w:r>
    </w:p>
    <w:bookmarkStart w:id="14" w:name="Xcd96c001cb2cdb8be2d1e780ce007f9d32a0be5"/>
    <w:p>
      <w:pPr>
        <w:pStyle w:val="Heading3"/>
      </w:pPr>
      <w:r>
        <w:t xml:space="preserve">2.1 Akut Faz ve Cerrahi (19–20 Şubat)</w:t>
      </w:r>
    </w:p>
    <w:p>
      <w:pPr>
        <w:pStyle w:val="FirstParagraph"/>
      </w:pPr>
      <w:r>
        <w:t xml:space="preserve">Ani başlangıçlı yırtıcı karakterde göğüs ve sırt ağrısı ile Defne Devlet Hastanesi acil servisine ambulansla başvuru. Mustafa Kemal Üniversitesi Hastanesi'nde intrakraniyal kanama ekartasyonu için difüzyon MRG ve kontrastsız beyin BT çekilmiş, her ikisi de normal bulunmuştur. Kırıkhan Devlet Hastanesi'nde kontrastlı torakoabdominal BT anjiyografi ile</w:t>
      </w:r>
      <w:r>
        <w:t xml:space="preserve"> </w:t>
      </w:r>
      <w:r>
        <w:rPr>
          <w:b/>
          <w:bCs/>
        </w:rPr>
        <w:t xml:space="preserve">5.3 cm asendan aort anevrizması ve aort kökünden iliak bifurkasyona uzanan Tip A diseksiyon</w:t>
      </w:r>
      <w:r>
        <w:t xml:space="preserve"> </w:t>
      </w:r>
      <w:r>
        <w:t xml:space="preserve">tanısı kesinleşmiştir.</w:t>
      </w:r>
    </w:p>
    <w:p>
      <w:pPr>
        <w:pStyle w:val="BodyText"/>
      </w:pPr>
      <w:r>
        <w:t xml:space="preserve">20 Şubat'ta Özel İskenderun Gelişim Hastanesi'nde derin hipotermik sirkülatuar arrest altında Bentall prosedürü uygulanmıştır: dilate nativ asendan aortun rezeksiyonu ve 32 mm Dacron greft ile replasmanı, yetersiz aort kapağının 25 mm Carbomedics mekanik protez ile replasmanı, koroner butonların grefte reimplantasyonu. Selektif antegrad serebral perfüzyon için sağ brakiyal arter ve sağ common karotid artere cerrahi kanülasyon uygulanmış, ardından primer vasküler onarım sağlanmıştır.</w:t>
      </w:r>
    </w:p>
    <w:bookmarkEnd w:id="14"/>
    <w:bookmarkStart w:id="15" w:name="X36d13f94403f7c2c650778f691a5d714dd42f4e"/>
    <w:p>
      <w:pPr>
        <w:pStyle w:val="Heading3"/>
      </w:pPr>
      <w:r>
        <w:t xml:space="preserve">2.2 Erken Postoperatif Dönem (20 Şubat – 2 Mart)</w:t>
      </w:r>
    </w:p>
    <w:p>
      <w:pPr>
        <w:pStyle w:val="FirstParagraph"/>
      </w:pPr>
      <w:r>
        <w:t xml:space="preserve">CRP 19 Şubat'ta 2.6 mg/L iken 21 Şubat'ta</w:t>
      </w:r>
      <w:r>
        <w:t xml:space="preserve"> </w:t>
      </w:r>
      <w:r>
        <w:rPr>
          <w:b/>
          <w:bCs/>
        </w:rPr>
        <w:t xml:space="preserve">154 mg/L</w:t>
      </w:r>
      <w:r>
        <w:t xml:space="preserve"> </w:t>
      </w:r>
      <w:r>
        <w:t xml:space="preserve">zirvesine ulaşmış, 23 Şubat'ta 61 mg/L'ye gerilemiş, 24 Şubat'ta 136 mg/L ile ikinci bir dalgalanma göstermiştir — postperikardiyotomi ve cerrahi travma yanıtıyla uyumlu bifazik seyir. Hemoglobin 14.0 g/dL'den 22 Şubat'ta 8.0 g/dL'ye düşmüştür (cerrahi kayıp + hemodilüsyon). Lökosit zirvesi 27.1 × 10⁹/L, trombosit nadiri 88 × 10⁹/L olarak kaydedilmiştir.</w:t>
      </w:r>
    </w:p>
    <w:p>
      <w:pPr>
        <w:pStyle w:val="BodyText"/>
      </w:pPr>
      <w:r>
        <w:t xml:space="preserve">Warfarin 2 Mart'ta haftalık 30 mg ile başlatılmış, aynı gün ömür boyu oral antikoagülan raporu düzenlenmiştir. Hasta 2 Mart'ta taburcu edilmiştir.</w:t>
      </w:r>
    </w:p>
    <w:bookmarkEnd w:id="15"/>
    <w:bookmarkStart w:id="16" w:name="X66fcdd2863fb2fc3c65cca0cf9ddab792110091"/>
    <w:p>
      <w:pPr>
        <w:pStyle w:val="Heading3"/>
      </w:pPr>
      <w:r>
        <w:t xml:space="preserve">2.3 Antikoagülasyon Aşırı Duyarlılık Dönemi (Mart)</w:t>
      </w:r>
    </w:p>
    <w:p>
      <w:pPr>
        <w:pStyle w:val="FirstParagraph"/>
      </w:pPr>
      <w:r>
        <w:t xml:space="preserve">Mart ayı, tüm seyrin en yüksek hemostatik risk penceresidir. INR 2 Mart'ta 3.36 iken</w:t>
      </w:r>
      <w:r>
        <w:t xml:space="preserve"> </w:t>
      </w:r>
      <w:r>
        <w:rPr>
          <w:b/>
          <w:bCs/>
        </w:rPr>
        <w:t xml:space="preserve">16 Mart'ta 8.46</w:t>
      </w:r>
      <w:r>
        <w:t xml:space="preserve"> </w:t>
      </w:r>
      <w:r>
        <w:t xml:space="preserve">zirvesine ulaşmıştır. Toplam altı ölçüm ≥4.5 saptanmıştır (12, 16, 18, 20, 23, 30 Mart). EcopirinPro 16 Mart'ta yüksek INR nedeniyle durdurulmuş, warfarin dozu 25 → 11.25 mg/hafta'ya indirilmiştir. Bu dönemde eş zamanlı olarak Tavanic (levofloksasin, 2–8 Mart) ve ardından 26 Mart'ta başlanan Cipro (siprofloksasin) + Stafine kullanımı mevcuttur; florokinolonlar CYP1A2/CYP3A4 üzerinden warfarin klirensini azaltarak INR'yi yükseltir (Holbrook et al., 2012).</w:t>
      </w:r>
    </w:p>
    <w:p>
      <w:pPr>
        <w:pStyle w:val="BodyText"/>
      </w:pPr>
      <w:r>
        <w:t xml:space="preserve">26 Mart'ta sternal yara enfeksiyonu için ikili antibiyotik başlanmıştır. 30–31 Mart'ta şiddetli kabızlık ve bulantı-kusma nedeniyle yatış yapılmış (CRP 101.4 mg/L), lavman ile gaz-gaita deşarjı sağlanarak taburcu edilmiştir.</w:t>
      </w:r>
    </w:p>
    <w:bookmarkEnd w:id="16"/>
    <w:bookmarkStart w:id="17" w:name="X304557c49dedefbc6049835754dbf19050335c0"/>
    <w:p>
      <w:pPr>
        <w:pStyle w:val="Heading3"/>
      </w:pPr>
      <w:r>
        <w:t xml:space="preserve">2.4 Hemodinamik İstikrarsızlık (Nisan)</w:t>
      </w:r>
    </w:p>
    <w:p>
      <w:pPr>
        <w:pStyle w:val="FirstParagraph"/>
      </w:pPr>
      <w:r>
        <w:t xml:space="preserve">7 Nisan'da hipotansiyon nedeniyle Dilatrend duraklatılmış, 9 Nisan'da BelocZOK'a geçilmiştir. 16–18 Nisan arasında kan basıncı yükselmiş ve üç kez Kapril 25 mg dilaltı uygulanmıştır: 156/97, 152/102 ve</w:t>
      </w:r>
      <w:r>
        <w:t xml:space="preserve"> </w:t>
      </w:r>
      <w:r>
        <w:rPr>
          <w:b/>
          <w:bCs/>
        </w:rPr>
        <w:t xml:space="preserve">168/103 mmHg</w:t>
      </w:r>
      <w:r>
        <w:t xml:space="preserve">. 168/103 mmHg, 500 ölçümlük tüm seride kaydedilen en yüksek değerdir. 17 Nisan'da Dilatrend'e geri dönülmüş, 21 Nisan'da EcopirinPro yeniden başlanmıştır.</w:t>
      </w:r>
    </w:p>
    <w:p>
      <w:pPr>
        <w:pStyle w:val="BodyText"/>
      </w:pPr>
      <w:r>
        <w:rPr>
          <w:b/>
          <w:bCs/>
        </w:rPr>
        <w:t xml:space="preserve">Biyoistatistiksel not:</w:t>
      </w:r>
      <w:r>
        <w:t xml:space="preserve"> </w:t>
      </w:r>
      <w:r>
        <w:t xml:space="preserve">Veri tabanında bu olaylar "Hipertansif Kriz" olarak etiketlenmiştir; ancak ölçülen değerler ≥180/120 mmHg eşiğinin altındadır ve kılavuz tanımıyla hipertansif aciliyet/kriz değil, evre 2 hipertansiyon atağı sınıfındadır (McEvoy et al., 2024). Bu ayrım, geriye dönük risk skorlamasının doğruluğu açısından kayda geçirilmiştir.</w:t>
      </w:r>
    </w:p>
    <w:bookmarkEnd w:id="17"/>
    <w:bookmarkStart w:id="18" w:name="X6b8f659e8a8cfb09dcd4948874d10fe58fedc79"/>
    <w:p>
      <w:pPr>
        <w:pStyle w:val="Heading3"/>
      </w:pPr>
      <w:r>
        <w:t xml:space="preserve">2.5 Ara Dönem ve İkinci Diseksiyon Görüntülemesi (Mayıs – Haziran)</w:t>
      </w:r>
    </w:p>
    <w:p>
      <w:pPr>
        <w:pStyle w:val="FirstParagraph"/>
      </w:pPr>
      <w:r>
        <w:t xml:space="preserve">5 Mayıs kontrol BT anjiyografisi: aort kökü 46 mm, arkus 46 mm, inen aorta 39 mm, abdominal aorta suprarenal düzeyde 38 mm. Diseksiyon flebi inen aortadan iliak bifurkasyona, ayrıca sol ana ve sol eksternal iliak arter proksimaline uzanmaktadır. Ek bulgular: kolelitiazis (en büyüğü 14 mm) ve bilateral basit böbrek kistleri (solda 50 mm, sağda 30 mm).</w:t>
      </w:r>
    </w:p>
    <w:p>
      <w:pPr>
        <w:pStyle w:val="BodyText"/>
      </w:pPr>
      <w:r>
        <w:t xml:space="preserve">Warfarin dozu kademeli olarak yukarı titre edilmiştir (8.75 → 11.25 → 13.75 → 20 mg/hafta, 13 Mayıs). 12–19 Mayıs ve 9–15 Haziran'da yara akıntısı/kızarıklık nedeniyle iki Augmentin küru uygulanmıştır. CRP 15 Haziran'da 22.7, 15 Temmuz'da 15.6 mg/L'ye gerilemiştir.</w:t>
      </w:r>
    </w:p>
    <w:bookmarkEnd w:id="18"/>
    <w:bookmarkStart w:id="19" w:name="X7a9299698b3496d5750861a48963917ccae4938"/>
    <w:p>
      <w:pPr>
        <w:pStyle w:val="Heading3"/>
      </w:pPr>
      <w:r>
        <w:t xml:space="preserve">2.6 Sternal Dehissens ve İkinci Yatış (Temmuz)</w:t>
      </w:r>
    </w:p>
    <w:p>
      <w:pPr>
        <w:pStyle w:val="FirstParagraph"/>
      </w:pPr>
      <w:r>
        <w:t xml:space="preserve">17 Temmuz acil toraks BT'sinde</w:t>
      </w:r>
      <w:r>
        <w:t xml:space="preserve"> </w:t>
      </w:r>
      <w:r>
        <w:rPr>
          <w:b/>
          <w:bCs/>
        </w:rPr>
        <w:t xml:space="preserve">sternumda defekt</w:t>
      </w:r>
      <w:r>
        <w:t xml:space="preserve"> </w:t>
      </w:r>
      <w:r>
        <w:t xml:space="preserve">ve minimal perikardiyal efüzyon raporlanmıştır. 23 Temmuz'da sternal insizyonda dikiş ayrılması, şiddetli enfeksiyon ve doku defekti nedeniyle KVC servisine yatış yapılmıştır. Yatış boyunca warfarin ve EcopirinPro duraklatılmış, köprüleme amacıyla Oksapar (enoksaparin 0.6 mL 2×1) ve Coraspin 100 mg kullanılmış, IV Sulcid uygulanmıştır. Hemoglobin bu dönemde</w:t>
      </w:r>
      <w:r>
        <w:t xml:space="preserve"> </w:t>
      </w:r>
      <w:r>
        <w:rPr>
          <w:b/>
          <w:bCs/>
        </w:rPr>
        <w:t xml:space="preserve">7.7 g/dL</w:t>
      </w:r>
      <w:r>
        <w:t xml:space="preserve"> </w:t>
      </w:r>
      <w:r>
        <w:t xml:space="preserve">ile tüm serinin nadirine inmiştir (27 Temmuz). Hasta 28 Temmuz'da taburcu edilmiş, Augmentin + Cipro ile oral tedaviye geçilmiştir.</w:t>
      </w:r>
    </w:p>
    <w:bookmarkEnd w:id="19"/>
    <w:bookmarkStart w:id="20" w:name="Xf47168f2684e31755d103c16aae490fa87ac6e5"/>
    <w:p>
      <w:pPr>
        <w:pStyle w:val="Heading3"/>
      </w:pPr>
      <w:r>
        <w:t xml:space="preserve">2.7 Konsolidasyon Dönemi (Ağustos – Eylül)</w:t>
      </w:r>
    </w:p>
    <w:p>
      <w:pPr>
        <w:pStyle w:val="FirstParagraph"/>
      </w:pPr>
      <w:r>
        <w:t xml:space="preserve">1 Ağustos'ta warfarin 20 mg/hafta ile yeniden başlatılmış, 3 Ağustos'ta Oksapar sonlandırılmıştır. 4 Ağustos'ta Coversyl 5 mg (perindopril) eklenerek antihipertansif rejim beta blokör + ACE inhibitörü kombinasyonuna dönüştürülmüştür.</w:t>
      </w:r>
    </w:p>
    <w:p>
      <w:pPr>
        <w:pStyle w:val="BodyText"/>
      </w:pPr>
      <w:r>
        <w:rPr>
          <w:b/>
          <w:bCs/>
        </w:rPr>
        <w:t xml:space="preserve">Antikoagülasyonun kritik doz manevrası:</w:t>
      </w:r>
      <w:r>
        <w:t xml:space="preserve"> </w:t>
      </w:r>
      <w:r>
        <w:t xml:space="preserve">11 Ağustos'ta warfarin 25 mg/hafta'ya çıkarılmış ve INR 18 Ağustos'ta 2.59, 25 Ağustos'ta 2.76 ile terapötik koridorun ortasında seyretmiştir. 18 Ağustos'ta doz tekrar 20 mg/hafta'ya indirilmiş ve bunu takiben INR monoton biçimde gerilemiştir: 2.72 (2 Eylül) → 2.12 (10 Eylül) →</w:t>
      </w:r>
      <w:r>
        <w:t xml:space="preserve"> </w:t>
      </w:r>
      <w:r>
        <w:rPr>
          <w:b/>
          <w:bCs/>
        </w:rPr>
        <w:t xml:space="preserve">1.95 (15 Eylül)</w:t>
      </w:r>
      <w:r>
        <w:t xml:space="preserve">. Bu üç noktalı düşüş, doz indiriminin farmakodinamik karşılığının gecikmeli olarak ortaya çıktığını göstermektedir; K vitaminine bağımlı pıhtılaşma faktörlerinin (özellikle faktör II, t½ ≈ 60 saat) yeni denge düzeyine ulaşması 1–2 haftayı bulur (Holbrook et al., 2012).</w:t>
      </w:r>
    </w:p>
    <w:p>
      <w:pPr>
        <w:pStyle w:val="BodyText"/>
      </w:pPr>
      <w:r>
        <w:t xml:space="preserve">4–11 Eylül arasında CRP yüksekliği nedeniyle 8 günlük Klamoks küru uygulanmış, CRP 23.8 → 11.3 → 5.7 mg/L seyri ile remisyona girmiştir. 11 Eylül'de Ferro Sanol Duodenal 100 mg 1×1 başlanmıştır.</w:t>
      </w:r>
    </w:p>
    <w:p>
      <w:r>
        <w:pict>
          <v:rect style="width:0;height:1.5pt" o:hralign="center" o:hrstd="t" o:hr="t"/>
        </w:pict>
      </w:r>
    </w:p>
    <w:bookmarkEnd w:id="20"/>
    <w:bookmarkEnd w:id="21"/>
    <w:bookmarkStart w:id="27" w:name="X1271bda317f9f273dbbc0b782db5e65632fc72f"/>
    <w:p>
      <w:pPr>
        <w:pStyle w:val="Heading2"/>
      </w:pPr>
      <w:r>
        <w:t xml:space="preserve">3. Tümleşik Master Parametre Tablosu (32 Parametre)</w:t>
      </w:r>
    </w:p>
    <w:p>
      <w:pPr>
        <w:pStyle w:val="FirstParagraph"/>
      </w:pPr>
      <w:r>
        <w:t xml:space="preserve">Tüm değerler doğrudan</w:t>
      </w:r>
      <w:r>
        <w:t xml:space="preserve"> </w:t>
      </w:r>
      <w:r>
        <w:rPr>
          <w:rStyle w:val="VerbatimChar"/>
        </w:rPr>
        <w:t xml:space="preserve">all-data.json</w:t>
      </w:r>
      <w:r>
        <w:t xml:space="preserve"> </w:t>
      </w:r>
      <w:r>
        <w:t xml:space="preserve">dosyasından hesaplanmıştır.</w:t>
      </w:r>
      <w:r>
        <w:t xml:space="preserve"> </w:t>
      </w:r>
      <w:r>
        <w:rPr>
          <w:b/>
          <w:bCs/>
        </w:rPr>
        <w:t xml:space="preserve">Test #93 = 15.09.2026</w:t>
      </w:r>
      <w:r>
        <w:t xml:space="preserve"> </w:t>
      </w:r>
      <w:r>
        <w:t xml:space="preserve">(biyokimya, hemogram, koagülasyon).</w:t>
      </w:r>
      <w:r>
        <w:t xml:space="preserve"> </w:t>
      </w:r>
      <w:r>
        <w:rPr>
          <w:b/>
          <w:bCs/>
        </w:rPr>
        <w:t xml:space="preserve">Test #90 = 08.09.2026</w:t>
      </w:r>
      <w:r>
        <w:t xml:space="preserve"> </w:t>
      </w:r>
      <w:r>
        <w:t xml:space="preserve">(geniş panel: demir kinetiği, tiroid, lipid, HbA1c). Test #93'te çalışılmayan parametreler için 8 Eylül tarihli son mevcut değer raporlanmıştır.</w:t>
      </w:r>
    </w:p>
    <w:bookmarkStart w:id="22" w:name="Xbfdf61bb1950f63b775cfb21b7f4cc4a8469633"/>
    <w:p>
      <w:pPr>
        <w:pStyle w:val="Heading3"/>
      </w:pPr>
      <w:r>
        <w:t xml:space="preserve">3.1 Koagülasyon Paneli</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Parametre</w:t>
            </w:r>
          </w:p>
        </w:tc>
        <w:tc>
          <w:tcPr/>
          <w:p>
            <w:pPr>
              <w:pStyle w:val="Compact"/>
            </w:pPr>
            <w:r>
              <w:t xml:space="preserve">Referans</w:t>
            </w:r>
          </w:p>
        </w:tc>
        <w:tc>
          <w:tcPr/>
          <w:p>
            <w:pPr>
              <w:pStyle w:val="Compact"/>
            </w:pPr>
            <w:r>
              <w:t xml:space="preserve">İlk (19.02)</w:t>
            </w:r>
          </w:p>
        </w:tc>
        <w:tc>
          <w:tcPr/>
          <w:p>
            <w:pPr>
              <w:pStyle w:val="Compact"/>
            </w:pPr>
            <w:r>
              <w:t xml:space="preserve">Zirve/Dip</w:t>
            </w:r>
          </w:p>
        </w:tc>
        <w:tc>
          <w:tcPr/>
          <w:p>
            <w:pPr>
              <w:pStyle w:val="Compact"/>
            </w:pPr>
            <w:r>
              <w:rPr>
                <w:b/>
                <w:bCs/>
              </w:rPr>
              <w:t xml:space="preserve">Son</w:t>
            </w:r>
          </w:p>
        </w:tc>
        <w:tc>
          <w:tcPr/>
          <w:p>
            <w:pPr>
              <w:pStyle w:val="Compact"/>
            </w:pPr>
            <w:r>
              <w:t xml:space="preserve">Kaynak</w:t>
            </w:r>
          </w:p>
        </w:tc>
        <w:tc>
          <w:tcPr/>
          <w:p>
            <w:pPr>
              <w:pStyle w:val="Compact"/>
            </w:pPr>
            <w:r>
              <w:t xml:space="preserve">Δ</w:t>
            </w:r>
          </w:p>
        </w:tc>
        <w:tc>
          <w:tcPr/>
          <w:p>
            <w:pPr>
              <w:pStyle w:val="Compact"/>
            </w:pPr>
            <w:r>
              <w:t xml:space="preserve">Durum</w:t>
            </w:r>
          </w:p>
        </w:tc>
      </w:tr>
      <w:tr>
        <w:tc>
          <w:tcPr/>
          <w:p>
            <w:pPr>
              <w:pStyle w:val="Compact"/>
            </w:pPr>
            <w:r>
              <w:t xml:space="preserve">INR</w:t>
            </w:r>
          </w:p>
        </w:tc>
        <w:tc>
          <w:tcPr/>
          <w:p>
            <w:pPr>
              <w:pStyle w:val="Compact"/>
            </w:pPr>
            <w:r>
              <w:t xml:space="preserve">2.0–3.0 (hedef)</w:t>
            </w:r>
          </w:p>
        </w:tc>
        <w:tc>
          <w:tcPr/>
          <w:p>
            <w:pPr>
              <w:pStyle w:val="Compact"/>
            </w:pPr>
            <w:r>
              <w:t xml:space="preserve">1.10</w:t>
            </w:r>
          </w:p>
        </w:tc>
        <w:tc>
          <w:tcPr/>
          <w:p>
            <w:pPr>
              <w:pStyle w:val="Compact"/>
            </w:pPr>
            <w:r>
              <w:t xml:space="preserve">8.46 (16.03)</w:t>
            </w:r>
          </w:p>
        </w:tc>
        <w:tc>
          <w:tcPr/>
          <w:p>
            <w:pPr>
              <w:pStyle w:val="Compact"/>
            </w:pPr>
            <w:r>
              <w:rPr>
                <w:b/>
                <w:bCs/>
              </w:rPr>
              <w:t xml:space="preserve">1.95</w:t>
            </w:r>
          </w:p>
        </w:tc>
        <w:tc>
          <w:tcPr/>
          <w:p>
            <w:pPr>
              <w:pStyle w:val="Compact"/>
            </w:pPr>
            <w:r>
              <w:t xml:space="preserve">#93</w:t>
            </w:r>
          </w:p>
        </w:tc>
        <w:tc>
          <w:tcPr/>
          <w:p>
            <w:pPr>
              <w:pStyle w:val="Compact"/>
            </w:pPr>
            <w:r>
              <w:t xml:space="preserve">−0.17</w:t>
            </w:r>
          </w:p>
        </w:tc>
        <w:tc>
          <w:tcPr/>
          <w:p>
            <w:pPr>
              <w:pStyle w:val="Compact"/>
            </w:pPr>
            <w:r>
              <w:t xml:space="preserve">Hedef altı</w:t>
            </w:r>
          </w:p>
        </w:tc>
      </w:tr>
      <w:tr>
        <w:tc>
          <w:tcPr/>
          <w:p>
            <w:pPr>
              <w:pStyle w:val="Compact"/>
            </w:pPr>
            <w:r>
              <w:t xml:space="preserve">Protrombin zamanı (PT)</w:t>
            </w:r>
          </w:p>
        </w:tc>
        <w:tc>
          <w:tcPr/>
          <w:p>
            <w:pPr>
              <w:pStyle w:val="Compact"/>
            </w:pPr>
            <w:r>
              <w:t xml:space="preserve">9.6–12.0 sn</w:t>
            </w:r>
          </w:p>
        </w:tc>
        <w:tc>
          <w:tcPr/>
          <w:p>
            <w:pPr>
              <w:pStyle w:val="Compact"/>
            </w:pPr>
            <w:r>
              <w:t xml:space="preserve">13.1</w:t>
            </w:r>
          </w:p>
        </w:tc>
        <w:tc>
          <w:tcPr/>
          <w:p>
            <w:pPr>
              <w:pStyle w:val="Compact"/>
            </w:pPr>
            <w:r>
              <w:t xml:space="preserve">64.0 (16.03)</w:t>
            </w:r>
          </w:p>
        </w:tc>
        <w:tc>
          <w:tcPr/>
          <w:p>
            <w:pPr>
              <w:pStyle w:val="Compact"/>
            </w:pPr>
            <w:r>
              <w:rPr>
                <w:b/>
                <w:bCs/>
              </w:rPr>
              <w:t xml:space="preserve">18.4</w:t>
            </w:r>
          </w:p>
        </w:tc>
        <w:tc>
          <w:tcPr/>
          <w:p>
            <w:pPr>
              <w:pStyle w:val="Compact"/>
            </w:pPr>
            <w:r>
              <w:t xml:space="preserve">#93</w:t>
            </w:r>
          </w:p>
        </w:tc>
        <w:tc>
          <w:tcPr/>
          <w:p>
            <w:pPr>
              <w:pStyle w:val="Compact"/>
            </w:pPr>
            <w:r>
              <w:t xml:space="preserve">+1.0</w:t>
            </w:r>
          </w:p>
        </w:tc>
        <w:tc>
          <w:tcPr/>
          <w:p>
            <w:pPr>
              <w:pStyle w:val="Compact"/>
            </w:pPr>
            <w:r>
              <w:t xml:space="preserve">Yüksek (beklenen)</w:t>
            </w:r>
          </w:p>
        </w:tc>
      </w:tr>
      <w:tr>
        <w:tc>
          <w:tcPr/>
          <w:p>
            <w:pPr>
              <w:pStyle w:val="Compact"/>
            </w:pPr>
            <w:r>
              <w:t xml:space="preserve">Protrombin aktivitesi</w:t>
            </w:r>
          </w:p>
        </w:tc>
        <w:tc>
          <w:tcPr/>
          <w:p>
            <w:pPr>
              <w:pStyle w:val="Compact"/>
            </w:pPr>
            <w:r>
              <w:t xml:space="preserve">%74.4–130</w:t>
            </w:r>
          </w:p>
        </w:tc>
        <w:tc>
          <w:tcPr/>
          <w:p>
            <w:pPr>
              <w:pStyle w:val="Compact"/>
            </w:pPr>
            <w:r>
              <w:t xml:space="preserve">82.8</w:t>
            </w:r>
          </w:p>
        </w:tc>
        <w:tc>
          <w:tcPr/>
          <w:p>
            <w:pPr>
              <w:pStyle w:val="Compact"/>
            </w:pPr>
            <w:r>
              <w:t xml:space="preserve">8.2 (16.03)</w:t>
            </w:r>
          </w:p>
        </w:tc>
        <w:tc>
          <w:tcPr/>
          <w:p>
            <w:pPr>
              <w:pStyle w:val="Compact"/>
            </w:pPr>
            <w:r>
              <w:rPr>
                <w:b/>
                <w:bCs/>
              </w:rPr>
              <w:t xml:space="preserve">46.3</w:t>
            </w:r>
          </w:p>
        </w:tc>
        <w:tc>
          <w:tcPr/>
          <w:p>
            <w:pPr>
              <w:pStyle w:val="Compact"/>
            </w:pPr>
            <w:r>
              <w:t xml:space="preserve">#93</w:t>
            </w:r>
          </w:p>
        </w:tc>
        <w:tc>
          <w:tcPr/>
          <w:p>
            <w:pPr>
              <w:pStyle w:val="Compact"/>
            </w:pPr>
            <w:r>
              <w:t xml:space="preserve">+4.6</w:t>
            </w:r>
          </w:p>
        </w:tc>
        <w:tc>
          <w:tcPr/>
          <w:p>
            <w:pPr>
              <w:pStyle w:val="Compact"/>
            </w:pPr>
            <w:r>
              <w:t xml:space="preserve">Düşük (beklenen)</w:t>
            </w:r>
          </w:p>
        </w:tc>
      </w:tr>
      <w:tr>
        <w:tc>
          <w:tcPr/>
          <w:p>
            <w:pPr>
              <w:pStyle w:val="Compact"/>
            </w:pPr>
            <w:r>
              <w:t xml:space="preserve">aPTT</w:t>
            </w:r>
          </w:p>
        </w:tc>
        <w:tc>
          <w:tcPr/>
          <w:p>
            <w:pPr>
              <w:pStyle w:val="Compact"/>
            </w:pPr>
            <w:r>
              <w:t xml:space="preserve">23.9–33.2 sn</w:t>
            </w:r>
          </w:p>
        </w:tc>
        <w:tc>
          <w:tcPr/>
          <w:p>
            <w:pPr>
              <w:pStyle w:val="Compact"/>
            </w:pPr>
            <w:r>
              <w:t xml:space="preserve">27.9</w:t>
            </w:r>
          </w:p>
        </w:tc>
        <w:tc>
          <w:tcPr/>
          <w:p>
            <w:pPr>
              <w:pStyle w:val="Compact"/>
            </w:pPr>
            <w:r>
              <w:t xml:space="preserve">85.5</w:t>
            </w:r>
          </w:p>
        </w:tc>
        <w:tc>
          <w:tcPr/>
          <w:p>
            <w:pPr>
              <w:pStyle w:val="Compact"/>
            </w:pPr>
            <w:r>
              <w:rPr>
                <w:b/>
                <w:bCs/>
              </w:rPr>
              <w:t xml:space="preserve">44.4</w:t>
            </w:r>
          </w:p>
        </w:tc>
        <w:tc>
          <w:tcPr/>
          <w:p>
            <w:pPr>
              <w:pStyle w:val="Compact"/>
            </w:pPr>
            <w:r>
              <w:t xml:space="preserve">#93</w:t>
            </w:r>
          </w:p>
        </w:tc>
        <w:tc>
          <w:tcPr/>
          <w:p>
            <w:pPr>
              <w:pStyle w:val="Compact"/>
            </w:pPr>
            <w:r>
              <w:t xml:space="preserve">−0.4</w:t>
            </w:r>
          </w:p>
        </w:tc>
        <w:tc>
          <w:tcPr/>
          <w:p>
            <w:pPr>
              <w:pStyle w:val="Compact"/>
            </w:pPr>
            <w:r>
              <w:t xml:space="preserve">Yüksek (beklenen)</w:t>
            </w:r>
          </w:p>
        </w:tc>
      </w:tr>
    </w:tbl>
    <w:p>
      <w:pPr>
        <w:pStyle w:val="BlockText"/>
      </w:pPr>
      <w:r>
        <w:t xml:space="preserve">PT, PT aktivitesi ve aPTT'deki sapmalar terapötik warfarin etkisinin beklenen yansımasıdır ve bağımsız patoloji göstergesi değildir. Karar verici tek parametre INR'dir.</w:t>
      </w:r>
    </w:p>
    <w:bookmarkEnd w:id="22"/>
    <w:bookmarkStart w:id="23" w:name="Xb5edcdbb0954d5d3167dc787679cbaf5835e8a4"/>
    <w:p>
      <w:pPr>
        <w:pStyle w:val="Heading3"/>
      </w:pPr>
      <w:r>
        <w:t xml:space="preserve">3.2 Hematoloji ve Anemi Paneli</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Parametre</w:t>
            </w:r>
          </w:p>
        </w:tc>
        <w:tc>
          <w:tcPr/>
          <w:p>
            <w:pPr>
              <w:pStyle w:val="Compact"/>
            </w:pPr>
            <w:r>
              <w:t xml:space="preserve">Referans</w:t>
            </w:r>
          </w:p>
        </w:tc>
        <w:tc>
          <w:tcPr/>
          <w:p>
            <w:pPr>
              <w:pStyle w:val="Compact"/>
            </w:pPr>
            <w:r>
              <w:t xml:space="preserve">İlk (19.02)</w:t>
            </w:r>
          </w:p>
        </w:tc>
        <w:tc>
          <w:tcPr/>
          <w:p>
            <w:pPr>
              <w:pStyle w:val="Compact"/>
            </w:pPr>
            <w:r>
              <w:t xml:space="preserve">Zirve/Dip</w:t>
            </w:r>
          </w:p>
        </w:tc>
        <w:tc>
          <w:tcPr/>
          <w:p>
            <w:pPr>
              <w:pStyle w:val="Compact"/>
            </w:pPr>
            <w:r>
              <w:rPr>
                <w:b/>
                <w:bCs/>
              </w:rPr>
              <w:t xml:space="preserve">Son</w:t>
            </w:r>
          </w:p>
        </w:tc>
        <w:tc>
          <w:tcPr/>
          <w:p>
            <w:pPr>
              <w:pStyle w:val="Compact"/>
            </w:pPr>
            <w:r>
              <w:t xml:space="preserve">Kaynak</w:t>
            </w:r>
          </w:p>
        </w:tc>
        <w:tc>
          <w:tcPr/>
          <w:p>
            <w:pPr>
              <w:pStyle w:val="Compact"/>
            </w:pPr>
            <w:r>
              <w:t xml:space="preserve">Δ (ilk→son)</w:t>
            </w:r>
          </w:p>
        </w:tc>
      </w:tr>
      <w:tr>
        <w:tc>
          <w:tcPr/>
          <w:p>
            <w:pPr>
              <w:pStyle w:val="Compact"/>
            </w:pPr>
            <w:r>
              <w:t xml:space="preserve">Hemoglobin (HGB)</w:t>
            </w:r>
          </w:p>
        </w:tc>
        <w:tc>
          <w:tcPr/>
          <w:p>
            <w:pPr>
              <w:pStyle w:val="Compact"/>
            </w:pPr>
            <w:r>
              <w:t xml:space="preserve">13.4–17.6 g/dL</w:t>
            </w:r>
          </w:p>
        </w:tc>
        <w:tc>
          <w:tcPr/>
          <w:p>
            <w:pPr>
              <w:pStyle w:val="Compact"/>
            </w:pPr>
            <w:r>
              <w:t xml:space="preserve">14.0</w:t>
            </w:r>
          </w:p>
        </w:tc>
        <w:tc>
          <w:tcPr/>
          <w:p>
            <w:pPr>
              <w:pStyle w:val="Compact"/>
            </w:pPr>
            <w:r>
              <w:t xml:space="preserve">7.7 (27.07)</w:t>
            </w:r>
          </w:p>
        </w:tc>
        <w:tc>
          <w:tcPr/>
          <w:p>
            <w:pPr>
              <w:pStyle w:val="Compact"/>
            </w:pPr>
            <w:r>
              <w:rPr>
                <w:b/>
                <w:bCs/>
              </w:rPr>
              <w:t xml:space="preserve">9.7</w:t>
            </w:r>
          </w:p>
        </w:tc>
        <w:tc>
          <w:tcPr/>
          <w:p>
            <w:pPr>
              <w:pStyle w:val="Compact"/>
            </w:pPr>
            <w:r>
              <w:t xml:space="preserve">#93</w:t>
            </w:r>
          </w:p>
        </w:tc>
        <w:tc>
          <w:tcPr/>
          <w:p>
            <w:pPr>
              <w:pStyle w:val="Compact"/>
            </w:pPr>
            <w:r>
              <w:t xml:space="preserve">−4.3 (−%30.7)</w:t>
            </w:r>
          </w:p>
        </w:tc>
      </w:tr>
      <w:tr>
        <w:tc>
          <w:tcPr/>
          <w:p>
            <w:pPr>
              <w:pStyle w:val="Compact"/>
            </w:pPr>
            <w:r>
              <w:t xml:space="preserve">Hematokrit (HCT)</w:t>
            </w:r>
          </w:p>
        </w:tc>
        <w:tc>
          <w:tcPr/>
          <w:p>
            <w:pPr>
              <w:pStyle w:val="Compact"/>
            </w:pPr>
            <w:r>
              <w:t xml:space="preserve">%40.5–53.6</w:t>
            </w:r>
          </w:p>
        </w:tc>
        <w:tc>
          <w:tcPr/>
          <w:p>
            <w:pPr>
              <w:pStyle w:val="Compact"/>
            </w:pPr>
            <w:r>
              <w:t xml:space="preserve">41.4</w:t>
            </w:r>
          </w:p>
        </w:tc>
        <w:tc>
          <w:tcPr/>
          <w:p>
            <w:pPr>
              <w:pStyle w:val="Compact"/>
            </w:pPr>
            <w:r>
              <w:t xml:space="preserve">25.0</w:t>
            </w:r>
          </w:p>
        </w:tc>
        <w:tc>
          <w:tcPr/>
          <w:p>
            <w:pPr>
              <w:pStyle w:val="Compact"/>
            </w:pPr>
            <w:r>
              <w:rPr>
                <w:b/>
                <w:bCs/>
              </w:rPr>
              <w:t xml:space="preserve">30.1</w:t>
            </w:r>
          </w:p>
        </w:tc>
        <w:tc>
          <w:tcPr/>
          <w:p>
            <w:pPr>
              <w:pStyle w:val="Compact"/>
            </w:pPr>
            <w:r>
              <w:t xml:space="preserve">#93</w:t>
            </w:r>
          </w:p>
        </w:tc>
        <w:tc>
          <w:tcPr/>
          <w:p>
            <w:pPr>
              <w:pStyle w:val="Compact"/>
            </w:pPr>
            <w:r>
              <w:t xml:space="preserve">−11.3 (−%27.3)</w:t>
            </w:r>
          </w:p>
        </w:tc>
      </w:tr>
      <w:tr>
        <w:tc>
          <w:tcPr/>
          <w:p>
            <w:pPr>
              <w:pStyle w:val="Compact"/>
            </w:pPr>
            <w:r>
              <w:t xml:space="preserve">Eritrosit (RBC)</w:t>
            </w:r>
          </w:p>
        </w:tc>
        <w:tc>
          <w:tcPr/>
          <w:p>
            <w:pPr>
              <w:pStyle w:val="Compact"/>
            </w:pPr>
            <w:r>
              <w:t xml:space="preserve">4.36–6.12 ×10¹²/L</w:t>
            </w:r>
          </w:p>
        </w:tc>
        <w:tc>
          <w:tcPr/>
          <w:p>
            <w:pPr>
              <w:pStyle w:val="Compact"/>
            </w:pPr>
            <w:r>
              <w:t xml:space="preserve">4.63</w:t>
            </w:r>
          </w:p>
        </w:tc>
        <w:tc>
          <w:tcPr/>
          <w:p>
            <w:pPr>
              <w:pStyle w:val="Compact"/>
            </w:pPr>
            <w:r>
              <w:t xml:space="preserve">2.73</w:t>
            </w:r>
          </w:p>
        </w:tc>
        <w:tc>
          <w:tcPr/>
          <w:p>
            <w:pPr>
              <w:pStyle w:val="Compact"/>
            </w:pPr>
            <w:r>
              <w:rPr>
                <w:b/>
                <w:bCs/>
              </w:rPr>
              <w:t xml:space="preserve">3.93</w:t>
            </w:r>
          </w:p>
        </w:tc>
        <w:tc>
          <w:tcPr/>
          <w:p>
            <w:pPr>
              <w:pStyle w:val="Compact"/>
            </w:pPr>
            <w:r>
              <w:t xml:space="preserve">#93</w:t>
            </w:r>
          </w:p>
        </w:tc>
        <w:tc>
          <w:tcPr/>
          <w:p>
            <w:pPr>
              <w:pStyle w:val="Compact"/>
            </w:pPr>
            <w:r>
              <w:t xml:space="preserve">−0.70 (−%15.1)</w:t>
            </w:r>
          </w:p>
        </w:tc>
      </w:tr>
      <w:tr>
        <w:tc>
          <w:tcPr/>
          <w:p>
            <w:pPr>
              <w:pStyle w:val="Compact"/>
            </w:pPr>
            <w:r>
              <w:t xml:space="preserve">MCV</w:t>
            </w:r>
          </w:p>
        </w:tc>
        <w:tc>
          <w:tcPr/>
          <w:p>
            <w:pPr>
              <w:pStyle w:val="Compact"/>
            </w:pPr>
            <w:r>
              <w:t xml:space="preserve">75.0–98.3 fL</w:t>
            </w:r>
          </w:p>
        </w:tc>
        <w:tc>
          <w:tcPr/>
          <w:p>
            <w:pPr>
              <w:pStyle w:val="Compact"/>
            </w:pPr>
            <w:r>
              <w:t xml:space="preserve">88.0</w:t>
            </w:r>
          </w:p>
        </w:tc>
        <w:tc>
          <w:tcPr/>
          <w:p>
            <w:pPr>
              <w:pStyle w:val="Compact"/>
            </w:pPr>
            <w:r>
              <w:t xml:space="preserve">76.4 (08.09)</w:t>
            </w:r>
          </w:p>
        </w:tc>
        <w:tc>
          <w:tcPr/>
          <w:p>
            <w:pPr>
              <w:pStyle w:val="Compact"/>
            </w:pPr>
            <w:r>
              <w:rPr>
                <w:b/>
                <w:bCs/>
              </w:rPr>
              <w:t xml:space="preserve">76.7</w:t>
            </w:r>
          </w:p>
        </w:tc>
        <w:tc>
          <w:tcPr/>
          <w:p>
            <w:pPr>
              <w:pStyle w:val="Compact"/>
            </w:pPr>
            <w:r>
              <w:t xml:space="preserve">#93</w:t>
            </w:r>
          </w:p>
        </w:tc>
        <w:tc>
          <w:tcPr/>
          <w:p>
            <w:pPr>
              <w:pStyle w:val="Compact"/>
            </w:pPr>
            <w:r>
              <w:t xml:space="preserve">−11.3 (−%12.8)</w:t>
            </w:r>
          </w:p>
        </w:tc>
      </w:tr>
      <w:tr>
        <w:tc>
          <w:tcPr/>
          <w:p>
            <w:pPr>
              <w:pStyle w:val="Compact"/>
            </w:pPr>
            <w:r>
              <w:t xml:space="preserve">MCH</w:t>
            </w:r>
          </w:p>
        </w:tc>
        <w:tc>
          <w:tcPr/>
          <w:p>
            <w:pPr>
              <w:pStyle w:val="Compact"/>
            </w:pPr>
            <w:r>
              <w:t xml:space="preserve">23.2–33.2 pg</w:t>
            </w:r>
          </w:p>
        </w:tc>
        <w:tc>
          <w:tcPr/>
          <w:p>
            <w:pPr>
              <w:pStyle w:val="Compact"/>
            </w:pPr>
            <w:r>
              <w:t xml:space="preserve">30.8</w:t>
            </w:r>
          </w:p>
        </w:tc>
        <w:tc>
          <w:tcPr/>
          <w:p>
            <w:pPr>
              <w:pStyle w:val="Compact"/>
            </w:pPr>
            <w:r>
              <w:t xml:space="preserve">24.5</w:t>
            </w:r>
          </w:p>
        </w:tc>
        <w:tc>
          <w:tcPr/>
          <w:p>
            <w:pPr>
              <w:pStyle w:val="Compact"/>
            </w:pPr>
            <w:r>
              <w:rPr>
                <w:b/>
                <w:bCs/>
              </w:rPr>
              <w:t xml:space="preserve">24.6</w:t>
            </w:r>
          </w:p>
        </w:tc>
        <w:tc>
          <w:tcPr/>
          <w:p>
            <w:pPr>
              <w:pStyle w:val="Compact"/>
            </w:pPr>
            <w:r>
              <w:t xml:space="preserve">#93</w:t>
            </w:r>
          </w:p>
        </w:tc>
        <w:tc>
          <w:tcPr/>
          <w:p>
            <w:pPr>
              <w:pStyle w:val="Compact"/>
            </w:pPr>
            <w:r>
              <w:t xml:space="preserve">−6.2 (−%20.1)</w:t>
            </w:r>
          </w:p>
        </w:tc>
      </w:tr>
      <w:tr>
        <w:tc>
          <w:tcPr/>
          <w:p>
            <w:pPr>
              <w:pStyle w:val="Compact"/>
            </w:pPr>
            <w:r>
              <w:t xml:space="preserve">MCHC</w:t>
            </w:r>
          </w:p>
        </w:tc>
        <w:tc>
          <w:tcPr/>
          <w:p>
            <w:pPr>
              <w:pStyle w:val="Compact"/>
            </w:pPr>
            <w:r>
              <w:t xml:space="preserve">31.3–34.8 g/dL</w:t>
            </w:r>
          </w:p>
        </w:tc>
        <w:tc>
          <w:tcPr/>
          <w:p>
            <w:pPr>
              <w:pStyle w:val="Compact"/>
            </w:pPr>
            <w:r>
              <w:t xml:space="preserve">35.1</w:t>
            </w:r>
          </w:p>
        </w:tc>
        <w:tc>
          <w:tcPr/>
          <w:p>
            <w:pPr>
              <w:pStyle w:val="Compact"/>
            </w:pPr>
            <w:r>
              <w:t xml:space="preserve">30.1</w:t>
            </w:r>
          </w:p>
        </w:tc>
        <w:tc>
          <w:tcPr/>
          <w:p>
            <w:pPr>
              <w:pStyle w:val="Compact"/>
            </w:pPr>
            <w:r>
              <w:rPr>
                <w:b/>
                <w:bCs/>
              </w:rPr>
              <w:t xml:space="preserve">32.2</w:t>
            </w:r>
          </w:p>
        </w:tc>
        <w:tc>
          <w:tcPr/>
          <w:p>
            <w:pPr>
              <w:pStyle w:val="Compact"/>
            </w:pPr>
            <w:r>
              <w:t xml:space="preserve">#93</w:t>
            </w:r>
          </w:p>
        </w:tc>
        <w:tc>
          <w:tcPr/>
          <w:p>
            <w:pPr>
              <w:pStyle w:val="Compact"/>
            </w:pPr>
            <w:r>
              <w:t xml:space="preserve">−2.9 (−%8.3)</w:t>
            </w:r>
          </w:p>
        </w:tc>
      </w:tr>
      <w:tr>
        <w:tc>
          <w:tcPr/>
          <w:p>
            <w:pPr>
              <w:pStyle w:val="Compact"/>
            </w:pPr>
            <w:r>
              <w:t xml:space="preserve">RDW-CV</w:t>
            </w:r>
          </w:p>
        </w:tc>
        <w:tc>
          <w:tcPr/>
          <w:p>
            <w:pPr>
              <w:pStyle w:val="Compact"/>
            </w:pPr>
            <w:r>
              <w:t xml:space="preserve">%11.7–15.3</w:t>
            </w:r>
          </w:p>
        </w:tc>
        <w:tc>
          <w:tcPr/>
          <w:p>
            <w:pPr>
              <w:pStyle w:val="Compact"/>
            </w:pPr>
            <w:r>
              <w:t xml:space="preserve">13.9</w:t>
            </w:r>
          </w:p>
        </w:tc>
        <w:tc>
          <w:tcPr/>
          <w:p>
            <w:pPr>
              <w:pStyle w:val="Compact"/>
            </w:pPr>
            <w:r>
              <w:t xml:space="preserve">20.2</w:t>
            </w:r>
          </w:p>
        </w:tc>
        <w:tc>
          <w:tcPr/>
          <w:p>
            <w:pPr>
              <w:pStyle w:val="Compact"/>
            </w:pPr>
            <w:r>
              <w:rPr>
                <w:b/>
                <w:bCs/>
              </w:rPr>
              <w:t xml:space="preserve">18.2</w:t>
            </w:r>
          </w:p>
        </w:tc>
        <w:tc>
          <w:tcPr/>
          <w:p>
            <w:pPr>
              <w:pStyle w:val="Compact"/>
            </w:pPr>
            <w:r>
              <w:t xml:space="preserve">#93</w:t>
            </w:r>
          </w:p>
        </w:tc>
        <w:tc>
          <w:tcPr/>
          <w:p>
            <w:pPr>
              <w:pStyle w:val="Compact"/>
            </w:pPr>
            <w:r>
              <w:t xml:space="preserve">+4.3 (+%30.9)</w:t>
            </w:r>
          </w:p>
        </w:tc>
      </w:tr>
      <w:tr>
        <w:tc>
          <w:tcPr/>
          <w:p>
            <w:pPr>
              <w:pStyle w:val="Compact"/>
            </w:pPr>
            <w:r>
              <w:t xml:space="preserve">Ferritin</w:t>
            </w:r>
          </w:p>
        </w:tc>
        <w:tc>
          <w:tcPr/>
          <w:p>
            <w:pPr>
              <w:pStyle w:val="Compact"/>
            </w:pPr>
            <w:r>
              <w:t xml:space="preserve">30–400 µg/L</w:t>
            </w:r>
          </w:p>
        </w:tc>
        <w:tc>
          <w:tcPr/>
          <w:p>
            <w:pPr>
              <w:pStyle w:val="Compact"/>
            </w:pPr>
            <w:r>
              <w:t xml:space="preserve">—</w:t>
            </w:r>
          </w:p>
        </w:tc>
        <w:tc>
          <w:tcPr/>
          <w:p>
            <w:pPr>
              <w:pStyle w:val="Compact"/>
            </w:pPr>
            <w:r>
              <w:t xml:space="preserve">—</w:t>
            </w:r>
          </w:p>
        </w:tc>
        <w:tc>
          <w:tcPr/>
          <w:p>
            <w:pPr>
              <w:pStyle w:val="Compact"/>
            </w:pPr>
            <w:r>
              <w:rPr>
                <w:b/>
                <w:bCs/>
              </w:rPr>
              <w:t xml:space="preserve">19.0</w:t>
            </w:r>
          </w:p>
        </w:tc>
        <w:tc>
          <w:tcPr/>
          <w:p>
            <w:pPr>
              <w:pStyle w:val="Compact"/>
            </w:pPr>
            <w:r>
              <w:t xml:space="preserve">#90</w:t>
            </w:r>
          </w:p>
        </w:tc>
        <w:tc>
          <w:tcPr/>
          <w:p>
            <w:pPr>
              <w:pStyle w:val="Compact"/>
            </w:pPr>
            <w:r>
              <w:t xml:space="preserve">tek ölçüm</w:t>
            </w:r>
          </w:p>
        </w:tc>
      </w:tr>
      <w:tr>
        <w:tc>
          <w:tcPr/>
          <w:p>
            <w:pPr>
              <w:pStyle w:val="Compact"/>
            </w:pPr>
            <w:r>
              <w:t xml:space="preserve">Serum demiri</w:t>
            </w:r>
          </w:p>
        </w:tc>
        <w:tc>
          <w:tcPr/>
          <w:p>
            <w:pPr>
              <w:pStyle w:val="Compact"/>
            </w:pPr>
            <w:r>
              <w:t xml:space="preserve">59–158 µg/dL</w:t>
            </w:r>
          </w:p>
        </w:tc>
        <w:tc>
          <w:tcPr/>
          <w:p>
            <w:pPr>
              <w:pStyle w:val="Compact"/>
            </w:pPr>
            <w:r>
              <w:t xml:space="preserve">—</w:t>
            </w:r>
          </w:p>
        </w:tc>
        <w:tc>
          <w:tcPr/>
          <w:p>
            <w:pPr>
              <w:pStyle w:val="Compact"/>
            </w:pPr>
            <w:r>
              <w:t xml:space="preserve">—</w:t>
            </w:r>
          </w:p>
        </w:tc>
        <w:tc>
          <w:tcPr/>
          <w:p>
            <w:pPr>
              <w:pStyle w:val="Compact"/>
            </w:pPr>
            <w:r>
              <w:rPr>
                <w:b/>
                <w:bCs/>
              </w:rPr>
              <w:t xml:space="preserve">15.0</w:t>
            </w:r>
          </w:p>
        </w:tc>
        <w:tc>
          <w:tcPr/>
          <w:p>
            <w:pPr>
              <w:pStyle w:val="Compact"/>
            </w:pPr>
            <w:r>
              <w:t xml:space="preserve">#90</w:t>
            </w:r>
          </w:p>
        </w:tc>
        <w:tc>
          <w:tcPr/>
          <w:p>
            <w:pPr>
              <w:pStyle w:val="Compact"/>
            </w:pPr>
            <w:r>
              <w:t xml:space="preserve">tek ölçüm</w:t>
            </w:r>
          </w:p>
        </w:tc>
      </w:tr>
      <w:tr>
        <w:tc>
          <w:tcPr/>
          <w:p>
            <w:pPr>
              <w:pStyle w:val="Compact"/>
            </w:pPr>
            <w:r>
              <w:t xml:space="preserve">UIBC</w:t>
            </w:r>
          </w:p>
        </w:tc>
        <w:tc>
          <w:tcPr/>
          <w:p>
            <w:pPr>
              <w:pStyle w:val="Compact"/>
            </w:pPr>
            <w:r>
              <w:t xml:space="preserve">110–370 µg/dL</w:t>
            </w:r>
          </w:p>
        </w:tc>
        <w:tc>
          <w:tcPr/>
          <w:p>
            <w:pPr>
              <w:pStyle w:val="Compact"/>
            </w:pPr>
            <w:r>
              <w:t xml:space="preserve">—</w:t>
            </w:r>
          </w:p>
        </w:tc>
        <w:tc>
          <w:tcPr/>
          <w:p>
            <w:pPr>
              <w:pStyle w:val="Compact"/>
            </w:pPr>
            <w:r>
              <w:t xml:space="preserve">—</w:t>
            </w:r>
          </w:p>
        </w:tc>
        <w:tc>
          <w:tcPr/>
          <w:p>
            <w:pPr>
              <w:pStyle w:val="Compact"/>
            </w:pPr>
            <w:r>
              <w:rPr>
                <w:b/>
                <w:bCs/>
              </w:rPr>
              <w:t xml:space="preserve">326.8</w:t>
            </w:r>
          </w:p>
        </w:tc>
        <w:tc>
          <w:tcPr/>
          <w:p>
            <w:pPr>
              <w:pStyle w:val="Compact"/>
            </w:pPr>
            <w:r>
              <w:t xml:space="preserve">#90</w:t>
            </w:r>
          </w:p>
        </w:tc>
        <w:tc>
          <w:tcPr/>
          <w:p>
            <w:pPr>
              <w:pStyle w:val="Compact"/>
            </w:pPr>
            <w:r>
              <w:t xml:space="preserve">tek ölçüm</w:t>
            </w:r>
          </w:p>
        </w:tc>
      </w:tr>
      <w:tr>
        <w:tc>
          <w:tcPr/>
          <w:p>
            <w:pPr>
              <w:pStyle w:val="Compact"/>
            </w:pPr>
            <w:r>
              <w:rPr>
                <w:b/>
                <w:bCs/>
              </w:rPr>
              <w:t xml:space="preserve">TSAT (hesaplanan)</w:t>
            </w:r>
          </w:p>
        </w:tc>
        <w:tc>
          <w:tcPr/>
          <w:p>
            <w:pPr>
              <w:pStyle w:val="Compact"/>
            </w:pPr>
            <w:r>
              <w:t xml:space="preserve">%20–45</w:t>
            </w:r>
          </w:p>
        </w:tc>
        <w:tc>
          <w:tcPr/>
          <w:p>
            <w:pPr>
              <w:pStyle w:val="Compact"/>
            </w:pPr>
            <w:r>
              <w:t xml:space="preserve">—</w:t>
            </w:r>
          </w:p>
        </w:tc>
        <w:tc>
          <w:tcPr/>
          <w:p>
            <w:pPr>
              <w:pStyle w:val="Compact"/>
            </w:pPr>
            <w:r>
              <w:t xml:space="preserve">—</w:t>
            </w:r>
          </w:p>
        </w:tc>
        <w:tc>
          <w:tcPr/>
          <w:p>
            <w:pPr>
              <w:pStyle w:val="Compact"/>
            </w:pPr>
            <w:r>
              <w:rPr>
                <w:b/>
                <w:bCs/>
              </w:rPr>
              <w:t xml:space="preserve">%4.4</w:t>
            </w:r>
          </w:p>
        </w:tc>
        <w:tc>
          <w:tcPr/>
          <w:p>
            <w:pPr>
              <w:pStyle w:val="Compact"/>
            </w:pPr>
            <w:r>
              <w:t xml:space="preserve">#90 türetilmiş</w:t>
            </w:r>
          </w:p>
        </w:tc>
        <w:tc>
          <w:tcPr/>
          <w:p>
            <w:pPr>
              <w:pStyle w:val="Compact"/>
            </w:pPr>
            <w:r>
              <w:t xml:space="preserve">—</w:t>
            </w:r>
          </w:p>
        </w:tc>
      </w:tr>
      <w:tr>
        <w:tc>
          <w:tcPr/>
          <w:p>
            <w:pPr>
              <w:pStyle w:val="Compact"/>
            </w:pPr>
            <w:r>
              <w:t xml:space="preserve">Vitamin B12</w:t>
            </w:r>
          </w:p>
        </w:tc>
        <w:tc>
          <w:tcPr/>
          <w:p>
            <w:pPr>
              <w:pStyle w:val="Compact"/>
            </w:pPr>
            <w:r>
              <w:t xml:space="preserve">211–946 pg/mL</w:t>
            </w:r>
          </w:p>
        </w:tc>
        <w:tc>
          <w:tcPr/>
          <w:p>
            <w:pPr>
              <w:pStyle w:val="Compact"/>
            </w:pPr>
            <w:r>
              <w:t xml:space="preserve">—</w:t>
            </w:r>
          </w:p>
        </w:tc>
        <w:tc>
          <w:tcPr/>
          <w:p>
            <w:pPr>
              <w:pStyle w:val="Compact"/>
            </w:pPr>
            <w:r>
              <w:t xml:space="preserve">—</w:t>
            </w:r>
          </w:p>
        </w:tc>
        <w:tc>
          <w:tcPr/>
          <w:p>
            <w:pPr>
              <w:pStyle w:val="Compact"/>
            </w:pPr>
            <w:r>
              <w:rPr>
                <w:b/>
                <w:bCs/>
              </w:rPr>
              <w:t xml:space="preserve">638</w:t>
            </w:r>
          </w:p>
        </w:tc>
        <w:tc>
          <w:tcPr/>
          <w:p>
            <w:pPr>
              <w:pStyle w:val="Compact"/>
            </w:pPr>
            <w:r>
              <w:t xml:space="preserve">#90</w:t>
            </w:r>
          </w:p>
        </w:tc>
        <w:tc>
          <w:tcPr/>
          <w:p>
            <w:pPr>
              <w:pStyle w:val="Compact"/>
            </w:pPr>
            <w:r>
              <w:t xml:space="preserve">tek ölçüm</w:t>
            </w:r>
          </w:p>
        </w:tc>
      </w:tr>
      <w:tr>
        <w:tc>
          <w:tcPr/>
          <w:p>
            <w:pPr>
              <w:pStyle w:val="Compact"/>
            </w:pPr>
            <w:r>
              <w:t xml:space="preserve">Folat</w:t>
            </w:r>
          </w:p>
        </w:tc>
        <w:tc>
          <w:tcPr/>
          <w:p>
            <w:pPr>
              <w:pStyle w:val="Compact"/>
            </w:pPr>
            <w:r>
              <w:t xml:space="preserve">3.1–17.5 ng/mL</w:t>
            </w:r>
          </w:p>
        </w:tc>
        <w:tc>
          <w:tcPr/>
          <w:p>
            <w:pPr>
              <w:pStyle w:val="Compact"/>
            </w:pPr>
            <w:r>
              <w:t xml:space="preserve">—</w:t>
            </w:r>
          </w:p>
        </w:tc>
        <w:tc>
          <w:tcPr/>
          <w:p>
            <w:pPr>
              <w:pStyle w:val="Compact"/>
            </w:pPr>
            <w:r>
              <w:t xml:space="preserve">—</w:t>
            </w:r>
          </w:p>
        </w:tc>
        <w:tc>
          <w:tcPr/>
          <w:p>
            <w:pPr>
              <w:pStyle w:val="Compact"/>
            </w:pPr>
            <w:r>
              <w:rPr>
                <w:b/>
                <w:bCs/>
              </w:rPr>
              <w:t xml:space="preserve">4.76</w:t>
            </w:r>
          </w:p>
        </w:tc>
        <w:tc>
          <w:tcPr/>
          <w:p>
            <w:pPr>
              <w:pStyle w:val="Compact"/>
            </w:pPr>
            <w:r>
              <w:t xml:space="preserve">#90</w:t>
            </w:r>
          </w:p>
        </w:tc>
        <w:tc>
          <w:tcPr/>
          <w:p>
            <w:pPr>
              <w:pStyle w:val="Compact"/>
            </w:pPr>
            <w:r>
              <w:t xml:space="preserve">tek ölçüm</w:t>
            </w:r>
          </w:p>
        </w:tc>
      </w:tr>
    </w:tbl>
    <w:p>
      <w:pPr>
        <w:pStyle w:val="BodyText"/>
      </w:pPr>
      <w:r>
        <w:rPr>
          <w:b/>
          <w:bCs/>
        </w:rPr>
        <w:t xml:space="preserve">TSAT hesabı:</w:t>
      </w:r>
      <w:r>
        <w:t xml:space="preserve"> </w:t>
      </w:r>
      <w:r>
        <w:t xml:space="preserve">TIBC = Demir + UIBC = 15.0 + 326.8 = 341.8 µg/dL; TSAT = 15.0 / 341.8 =</w:t>
      </w:r>
      <w:r>
        <w:t xml:space="preserve"> </w:t>
      </w:r>
      <w:r>
        <w:rPr>
          <w:b/>
          <w:bCs/>
        </w:rPr>
        <w:t xml:space="preserve">%4.4</w:t>
      </w:r>
      <w:r>
        <w:t xml:space="preserve">.</w:t>
      </w:r>
    </w:p>
    <w:bookmarkEnd w:id="23"/>
    <w:bookmarkStart w:id="24" w:name="X566be36ee9632444ac7247ff8d5058fa265a2d6"/>
    <w:p>
      <w:pPr>
        <w:pStyle w:val="Heading3"/>
      </w:pPr>
      <w:r>
        <w:t xml:space="preserve">3.3 Enflamasyon ve Lökosit Serisi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Parametre</w:t>
            </w:r>
          </w:p>
        </w:tc>
        <w:tc>
          <w:tcPr/>
          <w:p>
            <w:pPr>
              <w:pStyle w:val="Compact"/>
            </w:pPr>
            <w:r>
              <w:t xml:space="preserve">Referans</w:t>
            </w:r>
          </w:p>
        </w:tc>
        <w:tc>
          <w:tcPr/>
          <w:p>
            <w:pPr>
              <w:pStyle w:val="Compact"/>
            </w:pPr>
            <w:r>
              <w:t xml:space="preserve">İlk (19.02)</w:t>
            </w:r>
          </w:p>
        </w:tc>
        <w:tc>
          <w:tcPr/>
          <w:p>
            <w:pPr>
              <w:pStyle w:val="Compact"/>
            </w:pPr>
            <w:r>
              <w:t xml:space="preserve">Zirve</w:t>
            </w:r>
          </w:p>
        </w:tc>
        <w:tc>
          <w:tcPr/>
          <w:p>
            <w:pPr>
              <w:pStyle w:val="Compact"/>
            </w:pPr>
            <w:r>
              <w:rPr>
                <w:b/>
                <w:bCs/>
              </w:rPr>
              <w:t xml:space="preserve">Son (#93)</w:t>
            </w:r>
          </w:p>
        </w:tc>
        <w:tc>
          <w:tcPr/>
          <w:p>
            <w:pPr>
              <w:pStyle w:val="Compact"/>
            </w:pPr>
            <w:r>
              <w:t xml:space="preserve">Δ</w:t>
            </w:r>
          </w:p>
        </w:tc>
      </w:tr>
      <w:tr>
        <w:tc>
          <w:tcPr/>
          <w:p>
            <w:pPr>
              <w:pStyle w:val="Compact"/>
            </w:pPr>
            <w:r>
              <w:t xml:space="preserve">CRP</w:t>
            </w:r>
          </w:p>
        </w:tc>
        <w:tc>
          <w:tcPr/>
          <w:p>
            <w:pPr>
              <w:pStyle w:val="Compact"/>
            </w:pPr>
            <w:r>
              <w:t xml:space="preserve">0–5 mg/L</w:t>
            </w:r>
          </w:p>
        </w:tc>
        <w:tc>
          <w:tcPr/>
          <w:p>
            <w:pPr>
              <w:pStyle w:val="Compact"/>
            </w:pPr>
            <w:r>
              <w:t xml:space="preserve">2.6</w:t>
            </w:r>
          </w:p>
        </w:tc>
        <w:tc>
          <w:tcPr/>
          <w:p>
            <w:pPr>
              <w:pStyle w:val="Compact"/>
            </w:pPr>
            <w:r>
              <w:rPr>
                <w:b/>
                <w:bCs/>
              </w:rPr>
              <w:t xml:space="preserve">154.0</w:t>
            </w:r>
            <w:r>
              <w:t xml:space="preserve"> </w:t>
            </w:r>
            <w:r>
              <w:t xml:space="preserve">(21.02)</w:t>
            </w:r>
          </w:p>
        </w:tc>
        <w:tc>
          <w:tcPr/>
          <w:p>
            <w:pPr>
              <w:pStyle w:val="Compact"/>
            </w:pPr>
            <w:r>
              <w:rPr>
                <w:b/>
                <w:bCs/>
              </w:rPr>
              <w:t xml:space="preserve">5.7</w:t>
            </w:r>
          </w:p>
        </w:tc>
        <w:tc>
          <w:tcPr/>
          <w:p>
            <w:pPr>
              <w:pStyle w:val="Compact"/>
            </w:pPr>
            <w:r>
              <w:t xml:space="preserve">−148.3 zirveden</w:t>
            </w:r>
          </w:p>
        </w:tc>
      </w:tr>
      <w:tr>
        <w:tc>
          <w:tcPr/>
          <w:p>
            <w:pPr>
              <w:pStyle w:val="Compact"/>
            </w:pPr>
            <w:r>
              <w:t xml:space="preserve">Lökosit (WBC)</w:t>
            </w:r>
          </w:p>
        </w:tc>
        <w:tc>
          <w:tcPr/>
          <w:p>
            <w:pPr>
              <w:pStyle w:val="Compact"/>
            </w:pPr>
            <w:r>
              <w:t xml:space="preserve">4.01–9.75 ×10⁹/L</w:t>
            </w:r>
          </w:p>
        </w:tc>
        <w:tc>
          <w:tcPr/>
          <w:p>
            <w:pPr>
              <w:pStyle w:val="Compact"/>
            </w:pPr>
            <w:r>
              <w:t xml:space="preserve">10.62</w:t>
            </w:r>
          </w:p>
        </w:tc>
        <w:tc>
          <w:tcPr/>
          <w:p>
            <w:pPr>
              <w:pStyle w:val="Compact"/>
            </w:pPr>
            <w:r>
              <w:t xml:space="preserve">27.1</w:t>
            </w:r>
          </w:p>
        </w:tc>
        <w:tc>
          <w:tcPr/>
          <w:p>
            <w:pPr>
              <w:pStyle w:val="Compact"/>
            </w:pPr>
            <w:r>
              <w:rPr>
                <w:b/>
                <w:bCs/>
              </w:rPr>
              <w:t xml:space="preserve">9.01</w:t>
            </w:r>
          </w:p>
        </w:tc>
        <w:tc>
          <w:tcPr/>
          <w:p>
            <w:pPr>
              <w:pStyle w:val="Compact"/>
            </w:pPr>
            <w:r>
              <w:t xml:space="preserve">−1.61</w:t>
            </w:r>
          </w:p>
        </w:tc>
      </w:tr>
      <w:tr>
        <w:tc>
          <w:tcPr/>
          <w:p>
            <w:pPr>
              <w:pStyle w:val="Compact"/>
            </w:pPr>
            <w:r>
              <w:t xml:space="preserve">Nötrofil</w:t>
            </w:r>
          </w:p>
        </w:tc>
        <w:tc>
          <w:tcPr/>
          <w:p>
            <w:pPr>
              <w:pStyle w:val="Compact"/>
            </w:pPr>
            <w:r>
              <w:t xml:space="preserve">1.92–6.44 ×10⁹/L</w:t>
            </w:r>
          </w:p>
        </w:tc>
        <w:tc>
          <w:tcPr/>
          <w:p>
            <w:pPr>
              <w:pStyle w:val="Compact"/>
            </w:pPr>
            <w:r>
              <w:t xml:space="preserve">12.17</w:t>
            </w:r>
          </w:p>
        </w:tc>
        <w:tc>
          <w:tcPr/>
          <w:p>
            <w:pPr>
              <w:pStyle w:val="Compact"/>
            </w:pPr>
            <w:r>
              <w:t xml:space="preserve">12.37</w:t>
            </w:r>
          </w:p>
        </w:tc>
        <w:tc>
          <w:tcPr/>
          <w:p>
            <w:pPr>
              <w:pStyle w:val="Compact"/>
            </w:pPr>
            <w:r>
              <w:rPr>
                <w:b/>
                <w:bCs/>
              </w:rPr>
              <w:t xml:space="preserve">4.52</w:t>
            </w:r>
          </w:p>
        </w:tc>
        <w:tc>
          <w:tcPr/>
          <w:p>
            <w:pPr>
              <w:pStyle w:val="Compact"/>
            </w:pPr>
            <w:r>
              <w:t xml:space="preserve">−7.65</w:t>
            </w:r>
          </w:p>
        </w:tc>
      </w:tr>
      <w:tr>
        <w:tc>
          <w:tcPr/>
          <w:p>
            <w:pPr>
              <w:pStyle w:val="Compact"/>
            </w:pPr>
            <w:r>
              <w:t xml:space="preserve">Lenfosit</w:t>
            </w:r>
          </w:p>
        </w:tc>
        <w:tc>
          <w:tcPr/>
          <w:p>
            <w:pPr>
              <w:pStyle w:val="Compact"/>
            </w:pPr>
            <w:r>
              <w:t xml:space="preserve">1.15–3.43 ×10⁹/L</w:t>
            </w:r>
          </w:p>
        </w:tc>
        <w:tc>
          <w:tcPr/>
          <w:p>
            <w:pPr>
              <w:pStyle w:val="Compact"/>
            </w:pPr>
            <w:r>
              <w:t xml:space="preserve">1.68</w:t>
            </w:r>
          </w:p>
        </w:tc>
        <w:tc>
          <w:tcPr/>
          <w:p>
            <w:pPr>
              <w:pStyle w:val="Compact"/>
            </w:pPr>
            <w:r>
              <w:t xml:space="preserve">4.39</w:t>
            </w:r>
          </w:p>
        </w:tc>
        <w:tc>
          <w:tcPr/>
          <w:p>
            <w:pPr>
              <w:pStyle w:val="Compact"/>
            </w:pPr>
            <w:r>
              <w:rPr>
                <w:b/>
                <w:bCs/>
              </w:rPr>
              <w:t xml:space="preserve">3.88</w:t>
            </w:r>
          </w:p>
        </w:tc>
        <w:tc>
          <w:tcPr/>
          <w:p>
            <w:pPr>
              <w:pStyle w:val="Compact"/>
            </w:pPr>
            <w:r>
              <w:t xml:space="preserve">+2.20</w:t>
            </w:r>
          </w:p>
        </w:tc>
      </w:tr>
      <w:tr>
        <w:tc>
          <w:tcPr/>
          <w:p>
            <w:pPr>
              <w:pStyle w:val="Compact"/>
            </w:pPr>
            <w:r>
              <w:t xml:space="preserve">NLR</w:t>
            </w:r>
          </w:p>
        </w:tc>
        <w:tc>
          <w:tcPr/>
          <w:p>
            <w:pPr>
              <w:pStyle w:val="Compact"/>
            </w:pPr>
            <w:r>
              <w:t xml:space="preserve">—</w:t>
            </w:r>
          </w:p>
        </w:tc>
        <w:tc>
          <w:tcPr/>
          <w:p>
            <w:pPr>
              <w:pStyle w:val="Compact"/>
            </w:pPr>
            <w:r>
              <w:t xml:space="preserve">1.47 (15.06)</w:t>
            </w:r>
          </w:p>
        </w:tc>
        <w:tc>
          <w:tcPr/>
          <w:p>
            <w:pPr>
              <w:pStyle w:val="Compact"/>
            </w:pPr>
            <w:r>
              <w:t xml:space="preserve">—</w:t>
            </w:r>
          </w:p>
        </w:tc>
        <w:tc>
          <w:tcPr/>
          <w:p>
            <w:pPr>
              <w:pStyle w:val="Compact"/>
            </w:pPr>
            <w:r>
              <w:rPr>
                <w:b/>
                <w:bCs/>
              </w:rPr>
              <w:t xml:space="preserve">1.16</w:t>
            </w:r>
          </w:p>
        </w:tc>
        <w:tc>
          <w:tcPr/>
          <w:p>
            <w:pPr>
              <w:pStyle w:val="Compact"/>
            </w:pPr>
            <w:r>
              <w:t xml:space="preserve">−0.31</w:t>
            </w:r>
          </w:p>
        </w:tc>
      </w:tr>
      <w:tr>
        <w:tc>
          <w:tcPr/>
          <w:p>
            <w:pPr>
              <w:pStyle w:val="Compact"/>
            </w:pPr>
            <w:r>
              <w:t xml:space="preserve">Trombosit (PLT)</w:t>
            </w:r>
          </w:p>
        </w:tc>
        <w:tc>
          <w:tcPr/>
          <w:p>
            <w:pPr>
              <w:pStyle w:val="Compact"/>
            </w:pPr>
            <w:r>
              <w:t xml:space="preserve">151–387 ×10⁹/L</w:t>
            </w:r>
          </w:p>
        </w:tc>
        <w:tc>
          <w:tcPr/>
          <w:p>
            <w:pPr>
              <w:pStyle w:val="Compact"/>
            </w:pPr>
            <w:r>
              <w:t xml:space="preserve">163</w:t>
            </w:r>
          </w:p>
        </w:tc>
        <w:tc>
          <w:tcPr/>
          <w:p>
            <w:pPr>
              <w:pStyle w:val="Compact"/>
            </w:pPr>
            <w:r>
              <w:t xml:space="preserve">489</w:t>
            </w:r>
          </w:p>
        </w:tc>
        <w:tc>
          <w:tcPr/>
          <w:p>
            <w:pPr>
              <w:pStyle w:val="Compact"/>
            </w:pPr>
            <w:r>
              <w:rPr>
                <w:b/>
                <w:bCs/>
              </w:rPr>
              <w:t xml:space="preserve">368</w:t>
            </w:r>
          </w:p>
        </w:tc>
        <w:tc>
          <w:tcPr/>
          <w:p>
            <w:pPr>
              <w:pStyle w:val="Compact"/>
            </w:pPr>
            <w:r>
              <w:t xml:space="preserve">+205</w:t>
            </w:r>
          </w:p>
        </w:tc>
      </w:tr>
      <w:tr>
        <w:tc>
          <w:tcPr/>
          <w:p>
            <w:pPr>
              <w:pStyle w:val="Compact"/>
            </w:pPr>
            <w:r>
              <w:t xml:space="preserve">MPV</w:t>
            </w:r>
          </w:p>
        </w:tc>
        <w:tc>
          <w:tcPr/>
          <w:p>
            <w:pPr>
              <w:pStyle w:val="Compact"/>
            </w:pPr>
            <w:r>
              <w:t xml:space="preserve">8.4–12.7 fL</w:t>
            </w:r>
          </w:p>
        </w:tc>
        <w:tc>
          <w:tcPr/>
          <w:p>
            <w:pPr>
              <w:pStyle w:val="Compact"/>
            </w:pPr>
            <w:r>
              <w:t xml:space="preserve">11.4</w:t>
            </w:r>
          </w:p>
        </w:tc>
        <w:tc>
          <w:tcPr/>
          <w:p>
            <w:pPr>
              <w:pStyle w:val="Compact"/>
            </w:pPr>
            <w:r>
              <w:t xml:space="preserve">—</w:t>
            </w:r>
          </w:p>
        </w:tc>
        <w:tc>
          <w:tcPr/>
          <w:p>
            <w:pPr>
              <w:pStyle w:val="Compact"/>
            </w:pPr>
            <w:r>
              <w:rPr>
                <w:b/>
                <w:bCs/>
              </w:rPr>
              <w:t xml:space="preserve">9.5</w:t>
            </w:r>
          </w:p>
        </w:tc>
        <w:tc>
          <w:tcPr/>
          <w:p>
            <w:pPr>
              <w:pStyle w:val="Compact"/>
            </w:pPr>
            <w:r>
              <w:t xml:space="preserve">−1.9</w:t>
            </w:r>
          </w:p>
        </w:tc>
      </w:tr>
    </w:tbl>
    <w:bookmarkEnd w:id="24"/>
    <w:bookmarkStart w:id="25" w:name="X3de7ae055ff3a228e2e7c106ab5ea61a1564ba2"/>
    <w:p>
      <w:pPr>
        <w:pStyle w:val="Heading3"/>
      </w:pPr>
      <w:r>
        <w:t xml:space="preserve">3.4 Böbrek, Elektrolit ve Metabolik Panel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Parametre</w:t>
            </w:r>
          </w:p>
        </w:tc>
        <w:tc>
          <w:tcPr/>
          <w:p>
            <w:pPr>
              <w:pStyle w:val="Compact"/>
            </w:pPr>
            <w:r>
              <w:t xml:space="preserve">Referans</w:t>
            </w:r>
          </w:p>
        </w:tc>
        <w:tc>
          <w:tcPr/>
          <w:p>
            <w:pPr>
              <w:pStyle w:val="Compact"/>
            </w:pPr>
            <w:r>
              <w:t xml:space="preserve">İlk</w:t>
            </w:r>
          </w:p>
        </w:tc>
        <w:tc>
          <w:tcPr/>
          <w:p>
            <w:pPr>
              <w:pStyle w:val="Compact"/>
            </w:pPr>
            <w:r>
              <w:rPr>
                <w:b/>
                <w:bCs/>
              </w:rPr>
              <w:t xml:space="preserve">Son</w:t>
            </w:r>
          </w:p>
        </w:tc>
        <w:tc>
          <w:tcPr/>
          <w:p>
            <w:pPr>
              <w:pStyle w:val="Compact"/>
            </w:pPr>
            <w:r>
              <w:t xml:space="preserve">Kaynak</w:t>
            </w:r>
          </w:p>
        </w:tc>
        <w:tc>
          <w:tcPr/>
          <w:p>
            <w:pPr>
              <w:pStyle w:val="Compact"/>
            </w:pPr>
            <w:r>
              <w:t xml:space="preserve">Not</w:t>
            </w:r>
          </w:p>
        </w:tc>
      </w:tr>
      <w:tr>
        <w:tc>
          <w:tcPr/>
          <w:p>
            <w:pPr>
              <w:pStyle w:val="Compact"/>
            </w:pPr>
            <w:r>
              <w:t xml:space="preserve">Kreatinin</w:t>
            </w:r>
          </w:p>
        </w:tc>
        <w:tc>
          <w:tcPr/>
          <w:p>
            <w:pPr>
              <w:pStyle w:val="Compact"/>
            </w:pPr>
            <w:r>
              <w:t xml:space="preserve">0.7–1.2 mg/dL</w:t>
            </w:r>
          </w:p>
        </w:tc>
        <w:tc>
          <w:tcPr/>
          <w:p>
            <w:pPr>
              <w:pStyle w:val="Compact"/>
            </w:pPr>
            <w:r>
              <w:t xml:space="preserve">1.11</w:t>
            </w:r>
          </w:p>
        </w:tc>
        <w:tc>
          <w:tcPr/>
          <w:p>
            <w:pPr>
              <w:pStyle w:val="Compact"/>
            </w:pPr>
            <w:r>
              <w:rPr>
                <w:b/>
                <w:bCs/>
              </w:rPr>
              <w:t xml:space="preserve">1.11</w:t>
            </w:r>
          </w:p>
        </w:tc>
        <w:tc>
          <w:tcPr/>
          <w:p>
            <w:pPr>
              <w:pStyle w:val="Compact"/>
            </w:pPr>
            <w:r>
              <w:t xml:space="preserve">#93</w:t>
            </w:r>
          </w:p>
        </w:tc>
        <w:tc>
          <w:tcPr/>
          <w:p>
            <w:pPr>
              <w:pStyle w:val="Compact"/>
            </w:pPr>
            <w:r>
              <w:t xml:space="preserve">Değişmemiş</w:t>
            </w:r>
          </w:p>
        </w:tc>
      </w:tr>
      <w:tr>
        <w:tc>
          <w:tcPr/>
          <w:p>
            <w:pPr>
              <w:pStyle w:val="Compact"/>
            </w:pPr>
            <w:r>
              <w:t xml:space="preserve">eGFR (CKD-EPI)</w:t>
            </w:r>
          </w:p>
        </w:tc>
        <w:tc>
          <w:tcPr/>
          <w:p>
            <w:pPr>
              <w:pStyle w:val="Compact"/>
            </w:pPr>
            <w:r>
              <w:t xml:space="preserve">—</w:t>
            </w:r>
          </w:p>
        </w:tc>
        <w:tc>
          <w:tcPr/>
          <w:p>
            <w:pPr>
              <w:pStyle w:val="Compact"/>
            </w:pPr>
            <w:r>
              <w:t xml:space="preserve">72.58 (20.03)</w:t>
            </w:r>
          </w:p>
        </w:tc>
        <w:tc>
          <w:tcPr/>
          <w:p>
            <w:pPr>
              <w:pStyle w:val="Compact"/>
            </w:pPr>
            <w:r>
              <w:rPr>
                <w:b/>
                <w:bCs/>
              </w:rPr>
              <w:t xml:space="preserve">70.89</w:t>
            </w:r>
          </w:p>
        </w:tc>
        <w:tc>
          <w:tcPr/>
          <w:p>
            <w:pPr>
              <w:pStyle w:val="Compact"/>
            </w:pPr>
            <w:r>
              <w:t xml:space="preserve">#93</w:t>
            </w:r>
          </w:p>
        </w:tc>
        <w:tc>
          <w:tcPr/>
          <w:p>
            <w:pPr>
              <w:pStyle w:val="Compact"/>
            </w:pPr>
            <w:r>
              <w:t xml:space="preserve">23.07'de 94.0 idi</w:t>
            </w:r>
          </w:p>
        </w:tc>
      </w:tr>
      <w:tr>
        <w:tc>
          <w:tcPr/>
          <w:p>
            <w:pPr>
              <w:pStyle w:val="Compact"/>
            </w:pPr>
            <w:r>
              <w:t xml:space="preserve">BUN</w:t>
            </w:r>
          </w:p>
        </w:tc>
        <w:tc>
          <w:tcPr/>
          <w:p>
            <w:pPr>
              <w:pStyle w:val="Compact"/>
            </w:pPr>
            <w:r>
              <w:t xml:space="preserve">7–20 mg/dL</w:t>
            </w:r>
          </w:p>
        </w:tc>
        <w:tc>
          <w:tcPr/>
          <w:p>
            <w:pPr>
              <w:pStyle w:val="Compact"/>
            </w:pPr>
            <w:r>
              <w:t xml:space="preserve">18.3</w:t>
            </w:r>
          </w:p>
        </w:tc>
        <w:tc>
          <w:tcPr/>
          <w:p>
            <w:pPr>
              <w:pStyle w:val="Compact"/>
            </w:pPr>
            <w:r>
              <w:rPr>
                <w:b/>
                <w:bCs/>
              </w:rPr>
              <w:t xml:space="preserve">14.5</w:t>
            </w:r>
          </w:p>
        </w:tc>
        <w:tc>
          <w:tcPr/>
          <w:p>
            <w:pPr>
              <w:pStyle w:val="Compact"/>
            </w:pPr>
            <w:r>
              <w:t xml:space="preserve">#93</w:t>
            </w:r>
          </w:p>
        </w:tc>
        <w:tc>
          <w:tcPr/>
          <w:p>
            <w:pPr>
              <w:pStyle w:val="Compact"/>
            </w:pPr>
            <w:r>
              <w:t xml:space="preserve">Normal</w:t>
            </w:r>
          </w:p>
        </w:tc>
      </w:tr>
      <w:tr>
        <w:tc>
          <w:tcPr/>
          <w:p>
            <w:pPr>
              <w:pStyle w:val="Compact"/>
            </w:pPr>
            <w:r>
              <w:t xml:space="preserve">Sodyum</w:t>
            </w:r>
          </w:p>
        </w:tc>
        <w:tc>
          <w:tcPr/>
          <w:p>
            <w:pPr>
              <w:pStyle w:val="Compact"/>
            </w:pPr>
            <w:r>
              <w:t xml:space="preserve">136–145 mmol/L</w:t>
            </w:r>
          </w:p>
        </w:tc>
        <w:tc>
          <w:tcPr/>
          <w:p>
            <w:pPr>
              <w:pStyle w:val="Compact"/>
            </w:pPr>
            <w:r>
              <w:t xml:space="preserve">136</w:t>
            </w:r>
          </w:p>
        </w:tc>
        <w:tc>
          <w:tcPr/>
          <w:p>
            <w:pPr>
              <w:pStyle w:val="Compact"/>
            </w:pPr>
            <w:r>
              <w:rPr>
                <w:b/>
                <w:bCs/>
              </w:rPr>
              <w:t xml:space="preserve">138</w:t>
            </w:r>
          </w:p>
        </w:tc>
        <w:tc>
          <w:tcPr/>
          <w:p>
            <w:pPr>
              <w:pStyle w:val="Compact"/>
            </w:pPr>
            <w:r>
              <w:t xml:space="preserve">#93</w:t>
            </w:r>
          </w:p>
        </w:tc>
        <w:tc>
          <w:tcPr/>
          <w:p>
            <w:pPr>
              <w:pStyle w:val="Compact"/>
            </w:pPr>
            <w:r>
              <w:t xml:space="preserve">Normal</w:t>
            </w:r>
          </w:p>
        </w:tc>
      </w:tr>
      <w:tr>
        <w:tc>
          <w:tcPr/>
          <w:p>
            <w:pPr>
              <w:pStyle w:val="Compact"/>
            </w:pPr>
            <w:r>
              <w:rPr>
                <w:b/>
                <w:bCs/>
              </w:rPr>
              <w:t xml:space="preserve">Potasyum</w:t>
            </w:r>
          </w:p>
        </w:tc>
        <w:tc>
          <w:tcPr/>
          <w:p>
            <w:pPr>
              <w:pStyle w:val="Compact"/>
            </w:pPr>
            <w:r>
              <w:t xml:space="preserve">3.5–5.5 mmol/L</w:t>
            </w:r>
          </w:p>
        </w:tc>
        <w:tc>
          <w:tcPr/>
          <w:p>
            <w:pPr>
              <w:pStyle w:val="Compact"/>
            </w:pPr>
            <w:r>
              <w:t xml:space="preserve">3.64</w:t>
            </w:r>
          </w:p>
        </w:tc>
        <w:tc>
          <w:tcPr/>
          <w:p>
            <w:pPr>
              <w:pStyle w:val="Compact"/>
            </w:pPr>
            <w:r>
              <w:rPr>
                <w:b/>
                <w:bCs/>
              </w:rPr>
              <w:t xml:space="preserve">5.05</w:t>
            </w:r>
          </w:p>
        </w:tc>
        <w:tc>
          <w:tcPr/>
          <w:p>
            <w:pPr>
              <w:pStyle w:val="Compact"/>
            </w:pPr>
            <w:r>
              <w:t xml:space="preserve">#93</w:t>
            </w:r>
          </w:p>
        </w:tc>
        <w:tc>
          <w:tcPr/>
          <w:p>
            <w:pPr>
              <w:pStyle w:val="Compact"/>
            </w:pPr>
            <w:r>
              <w:rPr>
                <w:b/>
                <w:bCs/>
              </w:rPr>
              <w:t xml:space="preserve">Serinin en yüksek değeri</w:t>
            </w:r>
          </w:p>
        </w:tc>
      </w:tr>
      <w:tr>
        <w:tc>
          <w:tcPr/>
          <w:p>
            <w:pPr>
              <w:pStyle w:val="Compact"/>
            </w:pPr>
            <w:r>
              <w:t xml:space="preserve">Klor</w:t>
            </w:r>
          </w:p>
        </w:tc>
        <w:tc>
          <w:tcPr/>
          <w:p>
            <w:pPr>
              <w:pStyle w:val="Compact"/>
            </w:pPr>
            <w:r>
              <w:t xml:space="preserve">95–110 mmol/L</w:t>
            </w:r>
          </w:p>
        </w:tc>
        <w:tc>
          <w:tcPr/>
          <w:p>
            <w:pPr>
              <w:pStyle w:val="Compact"/>
            </w:pPr>
            <w:r>
              <w:t xml:space="preserve">103</w:t>
            </w:r>
          </w:p>
        </w:tc>
        <w:tc>
          <w:tcPr/>
          <w:p>
            <w:pPr>
              <w:pStyle w:val="Compact"/>
            </w:pPr>
            <w:r>
              <w:rPr>
                <w:b/>
                <w:bCs/>
              </w:rPr>
              <w:t xml:space="preserve">101</w:t>
            </w:r>
          </w:p>
        </w:tc>
        <w:tc>
          <w:tcPr/>
          <w:p>
            <w:pPr>
              <w:pStyle w:val="Compact"/>
            </w:pPr>
            <w:r>
              <w:t xml:space="preserve">#93</w:t>
            </w:r>
          </w:p>
        </w:tc>
        <w:tc>
          <w:tcPr/>
          <w:p>
            <w:pPr>
              <w:pStyle w:val="Compact"/>
            </w:pPr>
            <w:r>
              <w:t xml:space="preserve">Normal</w:t>
            </w:r>
          </w:p>
        </w:tc>
      </w:tr>
      <w:tr>
        <w:tc>
          <w:tcPr/>
          <w:p>
            <w:pPr>
              <w:pStyle w:val="Compact"/>
            </w:pPr>
            <w:r>
              <w:t xml:space="preserve">Glukoz</w:t>
            </w:r>
          </w:p>
        </w:tc>
        <w:tc>
          <w:tcPr/>
          <w:p>
            <w:pPr>
              <w:pStyle w:val="Compact"/>
            </w:pPr>
            <w:r>
              <w:t xml:space="preserve">82–115 mg/dL</w:t>
            </w:r>
          </w:p>
        </w:tc>
        <w:tc>
          <w:tcPr/>
          <w:p>
            <w:pPr>
              <w:pStyle w:val="Compact"/>
            </w:pPr>
            <w:r>
              <w:t xml:space="preserve">81</w:t>
            </w:r>
          </w:p>
        </w:tc>
        <w:tc>
          <w:tcPr/>
          <w:p>
            <w:pPr>
              <w:pStyle w:val="Compact"/>
            </w:pPr>
            <w:r>
              <w:rPr>
                <w:b/>
                <w:bCs/>
              </w:rPr>
              <w:t xml:space="preserve">98</w:t>
            </w:r>
          </w:p>
        </w:tc>
        <w:tc>
          <w:tcPr/>
          <w:p>
            <w:pPr>
              <w:pStyle w:val="Compact"/>
            </w:pPr>
            <w:r>
              <w:t xml:space="preserve">#93</w:t>
            </w:r>
          </w:p>
        </w:tc>
        <w:tc>
          <w:tcPr/>
          <w:p>
            <w:pPr>
              <w:pStyle w:val="Compact"/>
            </w:pPr>
            <w:r>
              <w:t xml:space="preserve">Normal</w:t>
            </w:r>
          </w:p>
        </w:tc>
      </w:tr>
      <w:tr>
        <w:tc>
          <w:tcPr/>
          <w:p>
            <w:pPr>
              <w:pStyle w:val="Compact"/>
            </w:pPr>
            <w:r>
              <w:t xml:space="preserve">HbA1c</w:t>
            </w:r>
          </w:p>
        </w:tc>
        <w:tc>
          <w:tcPr/>
          <w:p>
            <w:pPr>
              <w:pStyle w:val="Compact"/>
            </w:pPr>
            <w:r>
              <w:t xml:space="preserve">%4.8–5.9</w:t>
            </w:r>
          </w:p>
        </w:tc>
        <w:tc>
          <w:tcPr/>
          <w:p>
            <w:pPr>
              <w:pStyle w:val="Compact"/>
            </w:pPr>
            <w:r>
              <w:t xml:space="preserve">—</w:t>
            </w:r>
          </w:p>
        </w:tc>
        <w:tc>
          <w:tcPr/>
          <w:p>
            <w:pPr>
              <w:pStyle w:val="Compact"/>
            </w:pPr>
            <w:r>
              <w:rPr>
                <w:b/>
                <w:bCs/>
              </w:rPr>
              <w:t xml:space="preserve">5.3</w:t>
            </w:r>
          </w:p>
        </w:tc>
        <w:tc>
          <w:tcPr/>
          <w:p>
            <w:pPr>
              <w:pStyle w:val="Compact"/>
            </w:pPr>
            <w:r>
              <w:t xml:space="preserve">#90</w:t>
            </w:r>
          </w:p>
        </w:tc>
        <w:tc>
          <w:tcPr/>
          <w:p>
            <w:pPr>
              <w:pStyle w:val="Compact"/>
            </w:pPr>
            <w:r>
              <w:t xml:space="preserve">Normoglisemik</w:t>
            </w:r>
          </w:p>
        </w:tc>
      </w:tr>
      <w:tr>
        <w:tc>
          <w:tcPr/>
          <w:p>
            <w:pPr>
              <w:pStyle w:val="Compact"/>
            </w:pPr>
            <w:r>
              <w:t xml:space="preserve">Ürik asit</w:t>
            </w:r>
          </w:p>
        </w:tc>
        <w:tc>
          <w:tcPr/>
          <w:p>
            <w:pPr>
              <w:pStyle w:val="Compact"/>
            </w:pPr>
            <w:r>
              <w:t xml:space="preserve">3.5–7.6 mg/dL</w:t>
            </w:r>
          </w:p>
        </w:tc>
        <w:tc>
          <w:tcPr/>
          <w:p>
            <w:pPr>
              <w:pStyle w:val="Compact"/>
            </w:pPr>
            <w:r>
              <w:t xml:space="preserve">6.1</w:t>
            </w:r>
          </w:p>
        </w:tc>
        <w:tc>
          <w:tcPr/>
          <w:p>
            <w:pPr>
              <w:pStyle w:val="Compact"/>
            </w:pPr>
            <w:r>
              <w:rPr>
                <w:b/>
                <w:bCs/>
              </w:rPr>
              <w:t xml:space="preserve">5.8</w:t>
            </w:r>
          </w:p>
        </w:tc>
        <w:tc>
          <w:tcPr/>
          <w:p>
            <w:pPr>
              <w:pStyle w:val="Compact"/>
            </w:pPr>
            <w:r>
              <w:t xml:space="preserve">#90</w:t>
            </w:r>
          </w:p>
        </w:tc>
        <w:tc>
          <w:tcPr/>
          <w:p>
            <w:pPr>
              <w:pStyle w:val="Compact"/>
            </w:pPr>
            <w:r>
              <w:t xml:space="preserve">Normal</w:t>
            </w:r>
          </w:p>
        </w:tc>
      </w:tr>
      <w:tr>
        <w:tc>
          <w:tcPr/>
          <w:p>
            <w:pPr>
              <w:pStyle w:val="Compact"/>
            </w:pPr>
            <w:r>
              <w:t xml:space="preserve">Magnezyum</w:t>
            </w:r>
          </w:p>
        </w:tc>
        <w:tc>
          <w:tcPr/>
          <w:p>
            <w:pPr>
              <w:pStyle w:val="Compact"/>
            </w:pPr>
            <w:r>
              <w:t xml:space="preserve">1.58–2.55 mg/dL</w:t>
            </w:r>
          </w:p>
        </w:tc>
        <w:tc>
          <w:tcPr/>
          <w:p>
            <w:pPr>
              <w:pStyle w:val="Compact"/>
            </w:pPr>
            <w:r>
              <w:t xml:space="preserve">1.81</w:t>
            </w:r>
          </w:p>
        </w:tc>
        <w:tc>
          <w:tcPr/>
          <w:p>
            <w:pPr>
              <w:pStyle w:val="Compact"/>
            </w:pPr>
            <w:r>
              <w:rPr>
                <w:b/>
                <w:bCs/>
              </w:rPr>
              <w:t xml:space="preserve">2.02</w:t>
            </w:r>
          </w:p>
        </w:tc>
        <w:tc>
          <w:tcPr/>
          <w:p>
            <w:pPr>
              <w:pStyle w:val="Compact"/>
            </w:pPr>
            <w:r>
              <w:t xml:space="preserve">#90</w:t>
            </w:r>
          </w:p>
        </w:tc>
        <w:tc>
          <w:tcPr/>
          <w:p>
            <w:pPr>
              <w:pStyle w:val="Compact"/>
            </w:pPr>
            <w:r>
              <w:t xml:space="preserve">Normal</w:t>
            </w:r>
          </w:p>
        </w:tc>
      </w:tr>
      <w:tr>
        <w:tc>
          <w:tcPr/>
          <w:p>
            <w:pPr>
              <w:pStyle w:val="Compact"/>
            </w:pPr>
            <w:r>
              <w:t xml:space="preserve">Fosfor</w:t>
            </w:r>
          </w:p>
        </w:tc>
        <w:tc>
          <w:tcPr/>
          <w:p>
            <w:pPr>
              <w:pStyle w:val="Compact"/>
            </w:pPr>
            <w:r>
              <w:t xml:space="preserve">2.3–3.7 mg/dL</w:t>
            </w:r>
          </w:p>
        </w:tc>
        <w:tc>
          <w:tcPr/>
          <w:p>
            <w:pPr>
              <w:pStyle w:val="Compact"/>
            </w:pPr>
            <w:r>
              <w:t xml:space="preserve">—</w:t>
            </w:r>
          </w:p>
        </w:tc>
        <w:tc>
          <w:tcPr/>
          <w:p>
            <w:pPr>
              <w:pStyle w:val="Compact"/>
            </w:pPr>
            <w:r>
              <w:rPr>
                <w:b/>
                <w:bCs/>
              </w:rPr>
              <w:t xml:space="preserve">2.89</w:t>
            </w:r>
          </w:p>
        </w:tc>
        <w:tc>
          <w:tcPr/>
          <w:p>
            <w:pPr>
              <w:pStyle w:val="Compact"/>
            </w:pPr>
            <w:r>
              <w:t xml:space="preserve">#90</w:t>
            </w:r>
          </w:p>
        </w:tc>
        <w:tc>
          <w:tcPr/>
          <w:p>
            <w:pPr>
              <w:pStyle w:val="Compact"/>
            </w:pPr>
            <w:r>
              <w:t xml:space="preserve">Normal</w:t>
            </w:r>
          </w:p>
        </w:tc>
      </w:tr>
    </w:tbl>
    <w:bookmarkEnd w:id="25"/>
    <w:bookmarkStart w:id="26" w:name="X95b363a89d5d66705e83bb83adbd9e80d341d75"/>
    <w:p>
      <w:pPr>
        <w:pStyle w:val="Heading3"/>
      </w:pPr>
      <w:r>
        <w:t xml:space="preserve">3.5 Lipid, Tiroid, Kardiyak ve Hepatik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Parametre</w:t>
            </w:r>
          </w:p>
        </w:tc>
        <w:tc>
          <w:tcPr/>
          <w:p>
            <w:pPr>
              <w:pStyle w:val="Compact"/>
            </w:pPr>
            <w:r>
              <w:t xml:space="preserve">Referans</w:t>
            </w:r>
          </w:p>
        </w:tc>
        <w:tc>
          <w:tcPr/>
          <w:p>
            <w:pPr>
              <w:pStyle w:val="Compact"/>
            </w:pPr>
            <w:r>
              <w:t xml:space="preserve">İlk (19.02)</w:t>
            </w:r>
          </w:p>
        </w:tc>
        <w:tc>
          <w:tcPr/>
          <w:p>
            <w:pPr>
              <w:pStyle w:val="Compact"/>
            </w:pPr>
            <w:r>
              <w:rPr>
                <w:b/>
                <w:bCs/>
              </w:rPr>
              <w:t xml:space="preserve">Son (#90, 08.09)</w:t>
            </w:r>
          </w:p>
        </w:tc>
        <w:tc>
          <w:tcPr/>
          <w:p>
            <w:pPr>
              <w:pStyle w:val="Compact"/>
            </w:pPr>
            <w:r>
              <w:t xml:space="preserve">Δ</w:t>
            </w:r>
          </w:p>
        </w:tc>
      </w:tr>
      <w:tr>
        <w:tc>
          <w:tcPr/>
          <w:p>
            <w:pPr>
              <w:pStyle w:val="Compact"/>
            </w:pPr>
            <w:r>
              <w:t xml:space="preserve">Total kolesterol</w:t>
            </w:r>
          </w:p>
        </w:tc>
        <w:tc>
          <w:tcPr/>
          <w:p>
            <w:pPr>
              <w:pStyle w:val="Compact"/>
            </w:pPr>
            <w:r>
              <w:t xml:space="preserve">140–200 mg/dL</w:t>
            </w:r>
          </w:p>
        </w:tc>
        <w:tc>
          <w:tcPr/>
          <w:p>
            <w:pPr>
              <w:pStyle w:val="Compact"/>
            </w:pPr>
            <w:r>
              <w:t xml:space="preserve">179</w:t>
            </w:r>
          </w:p>
        </w:tc>
        <w:tc>
          <w:tcPr/>
          <w:p>
            <w:pPr>
              <w:pStyle w:val="Compact"/>
            </w:pPr>
            <w:r>
              <w:rPr>
                <w:b/>
                <w:bCs/>
              </w:rPr>
              <w:t xml:space="preserve">210</w:t>
            </w:r>
          </w:p>
        </w:tc>
        <w:tc>
          <w:tcPr/>
          <w:p>
            <w:pPr>
              <w:pStyle w:val="Compact"/>
            </w:pPr>
            <w:r>
              <w:t xml:space="preserve">+31 (+%17.3)</w:t>
            </w:r>
          </w:p>
        </w:tc>
      </w:tr>
      <w:tr>
        <w:tc>
          <w:tcPr/>
          <w:p>
            <w:pPr>
              <w:pStyle w:val="Compact"/>
            </w:pPr>
            <w:r>
              <w:t xml:space="preserve">LDL (direkt)</w:t>
            </w:r>
          </w:p>
        </w:tc>
        <w:tc>
          <w:tcPr/>
          <w:p>
            <w:pPr>
              <w:pStyle w:val="Compact"/>
            </w:pPr>
            <w:r>
              <w:t xml:space="preserve">60–130 mg/dL</w:t>
            </w:r>
          </w:p>
        </w:tc>
        <w:tc>
          <w:tcPr/>
          <w:p>
            <w:pPr>
              <w:pStyle w:val="Compact"/>
            </w:pPr>
            <w:r>
              <w:t xml:space="preserve">119.6</w:t>
            </w:r>
          </w:p>
        </w:tc>
        <w:tc>
          <w:tcPr/>
          <w:p>
            <w:pPr>
              <w:pStyle w:val="Compact"/>
            </w:pPr>
            <w:r>
              <w:rPr>
                <w:b/>
                <w:bCs/>
              </w:rPr>
              <w:t xml:space="preserve">141</w:t>
            </w:r>
          </w:p>
        </w:tc>
        <w:tc>
          <w:tcPr/>
          <w:p>
            <w:pPr>
              <w:pStyle w:val="Compact"/>
            </w:pPr>
            <w:r>
              <w:t xml:space="preserve">+21.4 (+%17.9)</w:t>
            </w:r>
          </w:p>
        </w:tc>
      </w:tr>
      <w:tr>
        <w:tc>
          <w:tcPr/>
          <w:p>
            <w:pPr>
              <w:pStyle w:val="Compact"/>
            </w:pPr>
            <w:r>
              <w:t xml:space="preserve">HDL</w:t>
            </w:r>
          </w:p>
        </w:tc>
        <w:tc>
          <w:tcPr/>
          <w:p>
            <w:pPr>
              <w:pStyle w:val="Compact"/>
            </w:pPr>
            <w:r>
              <w:t xml:space="preserve">35–75 mg/dL</w:t>
            </w:r>
          </w:p>
        </w:tc>
        <w:tc>
          <w:tcPr/>
          <w:p>
            <w:pPr>
              <w:pStyle w:val="Compact"/>
            </w:pPr>
            <w:r>
              <w:t xml:space="preserve">35.4</w:t>
            </w:r>
          </w:p>
        </w:tc>
        <w:tc>
          <w:tcPr/>
          <w:p>
            <w:pPr>
              <w:pStyle w:val="Compact"/>
            </w:pPr>
            <w:r>
              <w:rPr>
                <w:b/>
                <w:bCs/>
              </w:rPr>
              <w:t xml:space="preserve">34</w:t>
            </w:r>
          </w:p>
        </w:tc>
        <w:tc>
          <w:tcPr/>
          <w:p>
            <w:pPr>
              <w:pStyle w:val="Compact"/>
            </w:pPr>
            <w:r>
              <w:t xml:space="preserve">−1.4</w:t>
            </w:r>
          </w:p>
        </w:tc>
      </w:tr>
      <w:tr>
        <w:tc>
          <w:tcPr/>
          <w:p>
            <w:pPr>
              <w:pStyle w:val="Compact"/>
            </w:pPr>
            <w:r>
              <w:t xml:space="preserve">Trigliserid</w:t>
            </w:r>
          </w:p>
        </w:tc>
        <w:tc>
          <w:tcPr/>
          <w:p>
            <w:pPr>
              <w:pStyle w:val="Compact"/>
            </w:pPr>
            <w:r>
              <w:t xml:space="preserve">55–200 mg/dL</w:t>
            </w:r>
          </w:p>
        </w:tc>
        <w:tc>
          <w:tcPr/>
          <w:p>
            <w:pPr>
              <w:pStyle w:val="Compact"/>
            </w:pPr>
            <w:r>
              <w:t xml:space="preserve">123</w:t>
            </w:r>
          </w:p>
        </w:tc>
        <w:tc>
          <w:tcPr/>
          <w:p>
            <w:pPr>
              <w:pStyle w:val="Compact"/>
            </w:pPr>
            <w:r>
              <w:rPr>
                <w:b/>
                <w:bCs/>
              </w:rPr>
              <w:t xml:space="preserve">164</w:t>
            </w:r>
          </w:p>
        </w:tc>
        <w:tc>
          <w:tcPr/>
          <w:p>
            <w:pPr>
              <w:pStyle w:val="Compact"/>
            </w:pPr>
            <w:r>
              <w:t xml:space="preserve">+41 (+%33.3)</w:t>
            </w:r>
          </w:p>
        </w:tc>
      </w:tr>
      <w:tr>
        <w:tc>
          <w:tcPr/>
          <w:p>
            <w:pPr>
              <w:pStyle w:val="Compact"/>
            </w:pPr>
            <w:r>
              <w:t xml:space="preserve">TSH</w:t>
            </w:r>
          </w:p>
        </w:tc>
        <w:tc>
          <w:tcPr/>
          <w:p>
            <w:pPr>
              <w:pStyle w:val="Compact"/>
            </w:pPr>
            <w:r>
              <w:t xml:space="preserve">0.27–4.2 mIU/L</w:t>
            </w:r>
          </w:p>
        </w:tc>
        <w:tc>
          <w:tcPr/>
          <w:p>
            <w:pPr>
              <w:pStyle w:val="Compact"/>
            </w:pPr>
            <w:r>
              <w:t xml:space="preserve">0.86</w:t>
            </w:r>
          </w:p>
        </w:tc>
        <w:tc>
          <w:tcPr/>
          <w:p>
            <w:pPr>
              <w:pStyle w:val="Compact"/>
            </w:pPr>
            <w:r>
              <w:rPr>
                <w:b/>
                <w:bCs/>
              </w:rPr>
              <w:t xml:space="preserve">0.279</w:t>
            </w:r>
          </w:p>
        </w:tc>
        <w:tc>
          <w:tcPr/>
          <w:p>
            <w:pPr>
              <w:pStyle w:val="Compact"/>
            </w:pPr>
            <w:r>
              <w:t xml:space="preserve">−0.58 (alt sınırda)</w:t>
            </w:r>
          </w:p>
        </w:tc>
      </w:tr>
      <w:tr>
        <w:tc>
          <w:tcPr/>
          <w:p>
            <w:pPr>
              <w:pStyle w:val="Compact"/>
            </w:pPr>
            <w:r>
              <w:t xml:space="preserve">Serbest T4</w:t>
            </w:r>
          </w:p>
        </w:tc>
        <w:tc>
          <w:tcPr/>
          <w:p>
            <w:pPr>
              <w:pStyle w:val="Compact"/>
            </w:pPr>
            <w:r>
              <w:t xml:space="preserve">0.93–1.7 ng/dL</w:t>
            </w:r>
          </w:p>
        </w:tc>
        <w:tc>
          <w:tcPr/>
          <w:p>
            <w:pPr>
              <w:pStyle w:val="Compact"/>
            </w:pPr>
            <w:r>
              <w:t xml:space="preserve">1.51</w:t>
            </w:r>
          </w:p>
        </w:tc>
        <w:tc>
          <w:tcPr/>
          <w:p>
            <w:pPr>
              <w:pStyle w:val="Compact"/>
            </w:pPr>
            <w:r>
              <w:rPr>
                <w:b/>
                <w:bCs/>
              </w:rPr>
              <w:t xml:space="preserve">1.45</w:t>
            </w:r>
          </w:p>
        </w:tc>
        <w:tc>
          <w:tcPr/>
          <w:p>
            <w:pPr>
              <w:pStyle w:val="Compact"/>
            </w:pPr>
            <w:r>
              <w:t xml:space="preserve">−0.06</w:t>
            </w:r>
          </w:p>
        </w:tc>
      </w:tr>
      <w:tr>
        <w:tc>
          <w:tcPr/>
          <w:p>
            <w:pPr>
              <w:pStyle w:val="Compact"/>
            </w:pPr>
            <w:r>
              <w:t xml:space="preserve">Troponin T</w:t>
            </w:r>
          </w:p>
        </w:tc>
        <w:tc>
          <w:tcPr/>
          <w:p>
            <w:pPr>
              <w:pStyle w:val="Compact"/>
            </w:pPr>
            <w:r>
              <w:t xml:space="preserve">0–14 ng/L</w:t>
            </w:r>
          </w:p>
        </w:tc>
        <w:tc>
          <w:tcPr/>
          <w:p>
            <w:pPr>
              <w:pStyle w:val="Compact"/>
            </w:pPr>
            <w:r>
              <w:t xml:space="preserve">7.61</w:t>
            </w:r>
          </w:p>
        </w:tc>
        <w:tc>
          <w:tcPr/>
          <w:p>
            <w:pPr>
              <w:pStyle w:val="Compact"/>
            </w:pPr>
            <w:r>
              <w:rPr>
                <w:b/>
                <w:bCs/>
              </w:rPr>
              <w:t xml:space="preserve">6.01</w:t>
            </w:r>
          </w:p>
        </w:tc>
        <w:tc>
          <w:tcPr/>
          <w:p>
            <w:pPr>
              <w:pStyle w:val="Compact"/>
            </w:pPr>
            <w:r>
              <w:t xml:space="preserve">−1.60</w:t>
            </w:r>
          </w:p>
        </w:tc>
      </w:tr>
      <w:tr>
        <w:tc>
          <w:tcPr/>
          <w:p>
            <w:pPr>
              <w:pStyle w:val="Compact"/>
            </w:pPr>
            <w:r>
              <w:t xml:space="preserve">CK-MB</w:t>
            </w:r>
          </w:p>
        </w:tc>
        <w:tc>
          <w:tcPr/>
          <w:p>
            <w:pPr>
              <w:pStyle w:val="Compact"/>
            </w:pPr>
            <w:r>
              <w:t xml:space="preserve">0–25 U/L</w:t>
            </w:r>
          </w:p>
        </w:tc>
        <w:tc>
          <w:tcPr/>
          <w:p>
            <w:pPr>
              <w:pStyle w:val="Compact"/>
            </w:pPr>
            <w:r>
              <w:t xml:space="preserve">8</w:t>
            </w:r>
          </w:p>
        </w:tc>
        <w:tc>
          <w:tcPr/>
          <w:p>
            <w:pPr>
              <w:pStyle w:val="Compact"/>
            </w:pPr>
            <w:r>
              <w:rPr>
                <w:b/>
                <w:bCs/>
              </w:rPr>
              <w:t xml:space="preserve">12</w:t>
            </w:r>
            <w:r>
              <w:t xml:space="preserve"> </w:t>
            </w:r>
            <w:r>
              <w:t xml:space="preserve">(#93)</w:t>
            </w:r>
          </w:p>
        </w:tc>
        <w:tc>
          <w:tcPr/>
          <w:p>
            <w:pPr>
              <w:pStyle w:val="Compact"/>
            </w:pPr>
            <w:r>
              <w:t xml:space="preserve">+4</w:t>
            </w:r>
          </w:p>
        </w:tc>
      </w:tr>
      <w:tr>
        <w:tc>
          <w:tcPr/>
          <w:p>
            <w:pPr>
              <w:pStyle w:val="Compact"/>
            </w:pPr>
            <w:r>
              <w:t xml:space="preserve">LDH</w:t>
            </w:r>
          </w:p>
        </w:tc>
        <w:tc>
          <w:tcPr/>
          <w:p>
            <w:pPr>
              <w:pStyle w:val="Compact"/>
            </w:pPr>
            <w:r>
              <w:t xml:space="preserve">135–225 U/L</w:t>
            </w:r>
          </w:p>
        </w:tc>
        <w:tc>
          <w:tcPr/>
          <w:p>
            <w:pPr>
              <w:pStyle w:val="Compact"/>
            </w:pPr>
            <w:r>
              <w:t xml:space="preserve">226</w:t>
            </w:r>
          </w:p>
        </w:tc>
        <w:tc>
          <w:tcPr/>
          <w:p>
            <w:pPr>
              <w:pStyle w:val="Compact"/>
            </w:pPr>
            <w:r>
              <w:rPr>
                <w:b/>
                <w:bCs/>
              </w:rPr>
              <w:t xml:space="preserve">176</w:t>
            </w:r>
          </w:p>
        </w:tc>
        <w:tc>
          <w:tcPr/>
          <w:p>
            <w:pPr>
              <w:pStyle w:val="Compact"/>
            </w:pPr>
            <w:r>
              <w:t xml:space="preserve">−50</w:t>
            </w:r>
          </w:p>
        </w:tc>
      </w:tr>
      <w:tr>
        <w:tc>
          <w:tcPr/>
          <w:p>
            <w:pPr>
              <w:pStyle w:val="Compact"/>
            </w:pPr>
            <w:r>
              <w:t xml:space="preserve">GGT</w:t>
            </w:r>
          </w:p>
        </w:tc>
        <w:tc>
          <w:tcPr/>
          <w:p>
            <w:pPr>
              <w:pStyle w:val="Compact"/>
            </w:pPr>
            <w:r>
              <w:t xml:space="preserve">7–60 U/L</w:t>
            </w:r>
          </w:p>
        </w:tc>
        <w:tc>
          <w:tcPr/>
          <w:p>
            <w:pPr>
              <w:pStyle w:val="Compact"/>
            </w:pPr>
            <w:r>
              <w:t xml:space="preserve">15</w:t>
            </w:r>
          </w:p>
        </w:tc>
        <w:tc>
          <w:tcPr/>
          <w:p>
            <w:pPr>
              <w:pStyle w:val="Compact"/>
            </w:pPr>
            <w:r>
              <w:rPr>
                <w:b/>
                <w:bCs/>
              </w:rPr>
              <w:t xml:space="preserve">15</w:t>
            </w:r>
          </w:p>
        </w:tc>
        <w:tc>
          <w:tcPr/>
          <w:p>
            <w:pPr>
              <w:pStyle w:val="Compact"/>
            </w:pPr>
            <w:r>
              <w:t xml:space="preserve">0</w:t>
            </w:r>
          </w:p>
        </w:tc>
      </w:tr>
      <w:tr>
        <w:tc>
          <w:tcPr/>
          <w:p>
            <w:pPr>
              <w:pStyle w:val="Compact"/>
            </w:pPr>
            <w:r>
              <w:t xml:space="preserve">Direkt bilirubin</w:t>
            </w:r>
          </w:p>
        </w:tc>
        <w:tc>
          <w:tcPr/>
          <w:p>
            <w:pPr>
              <w:pStyle w:val="Compact"/>
            </w:pPr>
            <w:r>
              <w:t xml:space="preserve">0–0.3 mg/dL</w:t>
            </w:r>
          </w:p>
        </w:tc>
        <w:tc>
          <w:tcPr/>
          <w:p>
            <w:pPr>
              <w:pStyle w:val="Compact"/>
            </w:pPr>
            <w:r>
              <w:t xml:space="preserve">0.23</w:t>
            </w:r>
          </w:p>
        </w:tc>
        <w:tc>
          <w:tcPr/>
          <w:p>
            <w:pPr>
              <w:pStyle w:val="Compact"/>
            </w:pPr>
            <w:r>
              <w:rPr>
                <w:b/>
                <w:bCs/>
              </w:rPr>
              <w:t xml:space="preserve">0.23</w:t>
            </w:r>
            <w:r>
              <w:t xml:space="preserve"> </w:t>
            </w:r>
            <w:r>
              <w:t xml:space="preserve">(#93)</w:t>
            </w:r>
          </w:p>
        </w:tc>
        <w:tc>
          <w:tcPr/>
          <w:p>
            <w:pPr>
              <w:pStyle w:val="Compact"/>
            </w:pPr>
            <w:r>
              <w:t xml:space="preserve">0</w:t>
            </w:r>
          </w:p>
        </w:tc>
      </w:tr>
      <w:tr>
        <w:tc>
          <w:tcPr/>
          <w:p>
            <w:pPr>
              <w:pStyle w:val="Compact"/>
            </w:pPr>
            <w:r>
              <w:t xml:space="preserve">Albümin</w:t>
            </w:r>
          </w:p>
        </w:tc>
        <w:tc>
          <w:tcPr/>
          <w:p>
            <w:pPr>
              <w:pStyle w:val="Compact"/>
            </w:pPr>
            <w:r>
              <w:t xml:space="preserve">35–52 g/L</w:t>
            </w:r>
          </w:p>
        </w:tc>
        <w:tc>
          <w:tcPr/>
          <w:p>
            <w:pPr>
              <w:pStyle w:val="Compact"/>
            </w:pPr>
            <w:r>
              <w:t xml:space="preserve">40</w:t>
            </w:r>
          </w:p>
        </w:tc>
        <w:tc>
          <w:tcPr/>
          <w:p>
            <w:pPr>
              <w:pStyle w:val="Compact"/>
            </w:pPr>
            <w:r>
              <w:rPr>
                <w:b/>
                <w:bCs/>
              </w:rPr>
              <w:t xml:space="preserve">43</w:t>
            </w:r>
            <w:r>
              <w:t xml:space="preserve"> </w:t>
            </w:r>
            <w:r>
              <w:t xml:space="preserve">(25.08)</w:t>
            </w:r>
          </w:p>
        </w:tc>
        <w:tc>
          <w:tcPr/>
          <w:p>
            <w:pPr>
              <w:pStyle w:val="Compact"/>
            </w:pPr>
            <w:r>
              <w:t xml:space="preserve">+3</w:t>
            </w:r>
          </w:p>
        </w:tc>
      </w:tr>
    </w:tbl>
    <w:p>
      <w:r>
        <w:pict>
          <v:rect style="width:0;height:1.5pt" o:hralign="center" o:hrstd="t" o:hr="t"/>
        </w:pict>
      </w:r>
    </w:p>
    <w:bookmarkEnd w:id="26"/>
    <w:bookmarkEnd w:id="27"/>
    <w:bookmarkStart w:id="33" w:name="X3ffe93c1c04a1ef8cd1509ba7be86b40aa5f06b"/>
    <w:p>
      <w:pPr>
        <w:pStyle w:val="Heading2"/>
      </w:pPr>
      <w:r>
        <w:t xml:space="preserve">4. 10 Organ Paneli — 108 Parametreli Boylamsal Biyoistatistik</w:t>
      </w:r>
    </w:p>
    <w:p>
      <w:pPr>
        <w:pStyle w:val="FirstParagraph"/>
      </w:pPr>
      <w:r>
        <w:t xml:space="preserve">Veri tabanındaki 2.071 laboratuvar sonucu 136 distinkt isim taşımakta olup, bunlardan</w:t>
      </w:r>
      <w:r>
        <w:t xml:space="preserve"> </w:t>
      </w:r>
      <w:r>
        <w:rPr>
          <w:b/>
          <w:bCs/>
        </w:rPr>
        <w:t xml:space="preserve">108'i sayısal (kantitatif) parametredir</w:t>
      </w:r>
      <w:r>
        <w:t xml:space="preserve">; kalan 28'i idrar strip/mikroskopi ve kalitatif kan gazı türevlerinin metinsel sonuçlarıdır. Kanonik "108 parametre" ibaresi bu sayısal kümeyi ifade eder ve bu raporda doğrulanmıştır.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Organ/Sistem Paneli</w:t>
            </w:r>
          </w:p>
        </w:tc>
        <w:tc>
          <w:tcPr/>
          <w:p>
            <w:pPr>
              <w:pStyle w:val="Compact"/>
            </w:pPr>
            <w:r>
              <w:t xml:space="preserve">Distinkt Parametre</w:t>
            </w:r>
          </w:p>
        </w:tc>
        <w:tc>
          <w:tcPr/>
          <w:p>
            <w:pPr>
              <w:pStyle w:val="Compact"/>
            </w:pPr>
            <w:r>
              <w:t xml:space="preserve">Toplam Ölçüm</w:t>
            </w:r>
          </w:p>
        </w:tc>
        <w:tc>
          <w:tcPr/>
          <w:p>
            <w:pPr>
              <w:pStyle w:val="Compact"/>
            </w:pPr>
            <w:r>
              <w:t xml:space="preserve">Kapsam</w:t>
            </w:r>
          </w:p>
        </w:tc>
      </w:tr>
      <w:tr>
        <w:tc>
          <w:tcPr/>
          <w:p>
            <w:pPr>
              <w:pStyle w:val="Compact"/>
            </w:pPr>
            <w:r>
              <w:t xml:space="preserve">1</w:t>
            </w:r>
          </w:p>
        </w:tc>
        <w:tc>
          <w:tcPr/>
          <w:p>
            <w:pPr>
              <w:pStyle w:val="Compact"/>
            </w:pPr>
            <w:r>
              <w:t xml:space="preserve">Koagülasyon / hemostaz</w:t>
            </w:r>
          </w:p>
        </w:tc>
        <w:tc>
          <w:tcPr/>
          <w:p>
            <w:pPr>
              <w:pStyle w:val="Compact"/>
            </w:pPr>
            <w:r>
              <w:t xml:space="preserve">6</w:t>
            </w:r>
          </w:p>
        </w:tc>
        <w:tc>
          <w:tcPr/>
          <w:p>
            <w:pPr>
              <w:pStyle w:val="Compact"/>
            </w:pPr>
            <w:r>
              <w:t xml:space="preserve">150</w:t>
            </w:r>
          </w:p>
        </w:tc>
        <w:tc>
          <w:tcPr/>
          <w:p>
            <w:pPr>
              <w:pStyle w:val="Compact"/>
            </w:pPr>
            <w:r>
              <w:t xml:space="preserve">19.02 – 15.09</w:t>
            </w:r>
          </w:p>
        </w:tc>
      </w:tr>
      <w:tr>
        <w:tc>
          <w:tcPr/>
          <w:p>
            <w:pPr>
              <w:pStyle w:val="Compact"/>
            </w:pPr>
            <w:r>
              <w:t xml:space="preserve">2</w:t>
            </w:r>
          </w:p>
        </w:tc>
        <w:tc>
          <w:tcPr/>
          <w:p>
            <w:pPr>
              <w:pStyle w:val="Compact"/>
            </w:pPr>
            <w:r>
              <w:t xml:space="preserve">Hematoloji / eritrosit &amp; trombosit serisi</w:t>
            </w:r>
          </w:p>
        </w:tc>
        <w:tc>
          <w:tcPr/>
          <w:p>
            <w:pPr>
              <w:pStyle w:val="Compact"/>
            </w:pPr>
            <w:r>
              <w:t xml:space="preserve">18</w:t>
            </w:r>
          </w:p>
        </w:tc>
        <w:tc>
          <w:tcPr/>
          <w:p>
            <w:pPr>
              <w:pStyle w:val="Compact"/>
            </w:pPr>
            <w:r>
              <w:t xml:space="preserve">360</w:t>
            </w:r>
          </w:p>
        </w:tc>
        <w:tc>
          <w:tcPr/>
          <w:p>
            <w:pPr>
              <w:pStyle w:val="Compact"/>
            </w:pPr>
            <w:r>
              <w:t xml:space="preserve">19.02 – 15.09</w:t>
            </w:r>
          </w:p>
        </w:tc>
      </w:tr>
      <w:tr>
        <w:tc>
          <w:tcPr/>
          <w:p>
            <w:pPr>
              <w:pStyle w:val="Compact"/>
            </w:pPr>
            <w:r>
              <w:t xml:space="preserve">3</w:t>
            </w:r>
          </w:p>
        </w:tc>
        <w:tc>
          <w:tcPr/>
          <w:p>
            <w:pPr>
              <w:pStyle w:val="Compact"/>
            </w:pPr>
            <w:r>
              <w:t xml:space="preserve">Demir kinetiği &amp; vitaminler</w:t>
            </w:r>
          </w:p>
        </w:tc>
        <w:tc>
          <w:tcPr/>
          <w:p>
            <w:pPr>
              <w:pStyle w:val="Compact"/>
            </w:pPr>
            <w:r>
              <w:t xml:space="preserve">5</w:t>
            </w:r>
          </w:p>
        </w:tc>
        <w:tc>
          <w:tcPr/>
          <w:p>
            <w:pPr>
              <w:pStyle w:val="Compact"/>
            </w:pPr>
            <w:r>
              <w:t xml:space="preserve">5</w:t>
            </w:r>
          </w:p>
        </w:tc>
        <w:tc>
          <w:tcPr/>
          <w:p>
            <w:pPr>
              <w:pStyle w:val="Compact"/>
            </w:pPr>
            <w:r>
              <w:t xml:space="preserve">08.09 (tek nokta)</w:t>
            </w:r>
          </w:p>
        </w:tc>
      </w:tr>
      <w:tr>
        <w:tc>
          <w:tcPr/>
          <w:p>
            <w:pPr>
              <w:pStyle w:val="Compact"/>
            </w:pPr>
            <w:r>
              <w:t xml:space="preserve">4</w:t>
            </w:r>
          </w:p>
        </w:tc>
        <w:tc>
          <w:tcPr/>
          <w:p>
            <w:pPr>
              <w:pStyle w:val="Compact"/>
            </w:pPr>
            <w:r>
              <w:t xml:space="preserve">Enflamasyon &amp; lökosit alt grupları</w:t>
            </w:r>
          </w:p>
        </w:tc>
        <w:tc>
          <w:tcPr/>
          <w:p>
            <w:pPr>
              <w:pStyle w:val="Compact"/>
            </w:pPr>
            <w:r>
              <w:t xml:space="preserve">14</w:t>
            </w:r>
          </w:p>
        </w:tc>
        <w:tc>
          <w:tcPr/>
          <w:p>
            <w:pPr>
              <w:pStyle w:val="Compact"/>
            </w:pPr>
            <w:r>
              <w:t xml:space="preserve">314</w:t>
            </w:r>
          </w:p>
        </w:tc>
        <w:tc>
          <w:tcPr/>
          <w:p>
            <w:pPr>
              <w:pStyle w:val="Compact"/>
            </w:pPr>
            <w:r>
              <w:t xml:space="preserve">19.02 – 15.09</w:t>
            </w:r>
          </w:p>
        </w:tc>
      </w:tr>
      <w:tr>
        <w:tc>
          <w:tcPr/>
          <w:p>
            <w:pPr>
              <w:pStyle w:val="Compact"/>
            </w:pPr>
            <w:r>
              <w:t xml:space="preserve">5</w:t>
            </w:r>
          </w:p>
        </w:tc>
        <w:tc>
          <w:tcPr/>
          <w:p>
            <w:pPr>
              <w:pStyle w:val="Compact"/>
            </w:pPr>
            <w:r>
              <w:t xml:space="preserve">Böbrek &amp; elektrolit</w:t>
            </w:r>
          </w:p>
        </w:tc>
        <w:tc>
          <w:tcPr/>
          <w:p>
            <w:pPr>
              <w:pStyle w:val="Compact"/>
            </w:pPr>
            <w:r>
              <w:t xml:space="preserve">13</w:t>
            </w:r>
          </w:p>
        </w:tc>
        <w:tc>
          <w:tcPr/>
          <w:p>
            <w:pPr>
              <w:pStyle w:val="Compact"/>
            </w:pPr>
            <w:r>
              <w:t xml:space="preserve">170</w:t>
            </w:r>
          </w:p>
        </w:tc>
        <w:tc>
          <w:tcPr/>
          <w:p>
            <w:pPr>
              <w:pStyle w:val="Compact"/>
            </w:pPr>
            <w:r>
              <w:t xml:space="preserve">19.02 – 15.09</w:t>
            </w:r>
          </w:p>
        </w:tc>
      </w:tr>
      <w:tr>
        <w:tc>
          <w:tcPr/>
          <w:p>
            <w:pPr>
              <w:pStyle w:val="Compact"/>
            </w:pPr>
            <w:r>
              <w:t xml:space="preserve">6</w:t>
            </w:r>
          </w:p>
        </w:tc>
        <w:tc>
          <w:tcPr/>
          <w:p>
            <w:pPr>
              <w:pStyle w:val="Compact"/>
            </w:pPr>
            <w:r>
              <w:t xml:space="preserve">Kan gazı &amp; asit-baz</w:t>
            </w:r>
          </w:p>
        </w:tc>
        <w:tc>
          <w:tcPr/>
          <w:p>
            <w:pPr>
              <w:pStyle w:val="Compact"/>
            </w:pPr>
            <w:r>
              <w:t xml:space="preserve">26</w:t>
            </w:r>
          </w:p>
        </w:tc>
        <w:tc>
          <w:tcPr/>
          <w:p>
            <w:pPr>
              <w:pStyle w:val="Compact"/>
            </w:pPr>
            <w:r>
              <w:t xml:space="preserve">888</w:t>
            </w:r>
          </w:p>
        </w:tc>
        <w:tc>
          <w:tcPr/>
          <w:p>
            <w:pPr>
              <w:pStyle w:val="Compact"/>
            </w:pPr>
            <w:r>
              <w:t xml:space="preserve">19.02 – 08.09</w:t>
            </w:r>
          </w:p>
        </w:tc>
      </w:tr>
      <w:tr>
        <w:tc>
          <w:tcPr/>
          <w:p>
            <w:pPr>
              <w:pStyle w:val="Compact"/>
            </w:pPr>
            <w:r>
              <w:t xml:space="preserve">7</w:t>
            </w:r>
          </w:p>
        </w:tc>
        <w:tc>
          <w:tcPr/>
          <w:p>
            <w:pPr>
              <w:pStyle w:val="Compact"/>
            </w:pPr>
            <w:r>
              <w:t xml:space="preserve">Karaciğer &amp; protein</w:t>
            </w:r>
          </w:p>
        </w:tc>
        <w:tc>
          <w:tcPr/>
          <w:p>
            <w:pPr>
              <w:pStyle w:val="Compact"/>
            </w:pPr>
            <w:r>
              <w:t xml:space="preserve">9</w:t>
            </w:r>
          </w:p>
        </w:tc>
        <w:tc>
          <w:tcPr/>
          <w:p>
            <w:pPr>
              <w:pStyle w:val="Compact"/>
            </w:pPr>
            <w:r>
              <w:t xml:space="preserve">93</w:t>
            </w:r>
          </w:p>
        </w:tc>
        <w:tc>
          <w:tcPr/>
          <w:p>
            <w:pPr>
              <w:pStyle w:val="Compact"/>
            </w:pPr>
            <w:r>
              <w:t xml:space="preserve">19.02 – 15.09</w:t>
            </w:r>
          </w:p>
        </w:tc>
      </w:tr>
      <w:tr>
        <w:tc>
          <w:tcPr/>
          <w:p>
            <w:pPr>
              <w:pStyle w:val="Compact"/>
            </w:pPr>
            <w:r>
              <w:t xml:space="preserve">8</w:t>
            </w:r>
          </w:p>
        </w:tc>
        <w:tc>
          <w:tcPr/>
          <w:p>
            <w:pPr>
              <w:pStyle w:val="Compact"/>
            </w:pPr>
            <w:r>
              <w:t xml:space="preserve">Lipid &amp; glukoz metabolizması</w:t>
            </w:r>
          </w:p>
        </w:tc>
        <w:tc>
          <w:tcPr/>
          <w:p>
            <w:pPr>
              <w:pStyle w:val="Compact"/>
            </w:pPr>
            <w:r>
              <w:t xml:space="preserve">7</w:t>
            </w:r>
          </w:p>
        </w:tc>
        <w:tc>
          <w:tcPr/>
          <w:p>
            <w:pPr>
              <w:pStyle w:val="Compact"/>
            </w:pPr>
            <w:r>
              <w:t xml:space="preserve">32</w:t>
            </w:r>
          </w:p>
        </w:tc>
        <w:tc>
          <w:tcPr/>
          <w:p>
            <w:pPr>
              <w:pStyle w:val="Compact"/>
            </w:pPr>
            <w:r>
              <w:t xml:space="preserve">19.02 – 15.09</w:t>
            </w:r>
          </w:p>
        </w:tc>
      </w:tr>
      <w:tr>
        <w:tc>
          <w:tcPr/>
          <w:p>
            <w:pPr>
              <w:pStyle w:val="Compact"/>
            </w:pPr>
            <w:r>
              <w:t xml:space="preserve">9</w:t>
            </w:r>
          </w:p>
        </w:tc>
        <w:tc>
          <w:tcPr/>
          <w:p>
            <w:pPr>
              <w:pStyle w:val="Compact"/>
            </w:pPr>
            <w:r>
              <w:t xml:space="preserve">Tiroid &amp; hormonal</w:t>
            </w:r>
          </w:p>
        </w:tc>
        <w:tc>
          <w:tcPr/>
          <w:p>
            <w:pPr>
              <w:pStyle w:val="Compact"/>
            </w:pPr>
            <w:r>
              <w:t xml:space="preserve">3</w:t>
            </w:r>
          </w:p>
        </w:tc>
        <w:tc>
          <w:tcPr/>
          <w:p>
            <w:pPr>
              <w:pStyle w:val="Compact"/>
            </w:pPr>
            <w:r>
              <w:t xml:space="preserve">6</w:t>
            </w:r>
          </w:p>
        </w:tc>
        <w:tc>
          <w:tcPr/>
          <w:p>
            <w:pPr>
              <w:pStyle w:val="Compact"/>
            </w:pPr>
            <w:r>
              <w:t xml:space="preserve">19.02 – 08.09</w:t>
            </w:r>
          </w:p>
        </w:tc>
      </w:tr>
      <w:tr>
        <w:tc>
          <w:tcPr/>
          <w:p>
            <w:pPr>
              <w:pStyle w:val="Compact"/>
            </w:pPr>
            <w:r>
              <w:t xml:space="preserve">10</w:t>
            </w:r>
          </w:p>
        </w:tc>
        <w:tc>
          <w:tcPr/>
          <w:p>
            <w:pPr>
              <w:pStyle w:val="Compact"/>
            </w:pPr>
            <w:r>
              <w:t xml:space="preserve">Kardiyak enzimler</w:t>
            </w:r>
          </w:p>
        </w:tc>
        <w:tc>
          <w:tcPr/>
          <w:p>
            <w:pPr>
              <w:pStyle w:val="Compact"/>
            </w:pPr>
            <w:r>
              <w:t xml:space="preserve">4</w:t>
            </w:r>
          </w:p>
        </w:tc>
        <w:tc>
          <w:tcPr/>
          <w:p>
            <w:pPr>
              <w:pStyle w:val="Compact"/>
            </w:pPr>
            <w:r>
              <w:t xml:space="preserve">12</w:t>
            </w:r>
          </w:p>
        </w:tc>
        <w:tc>
          <w:tcPr/>
          <w:p>
            <w:pPr>
              <w:pStyle w:val="Compact"/>
            </w:pPr>
            <w:r>
              <w:t xml:space="preserve">19.02 – 15.09</w:t>
            </w:r>
          </w:p>
        </w:tc>
      </w:tr>
      <w:tr>
        <w:tc>
          <w:tcPr/>
          <w:p>
            <w:pPr>
              <w:pStyle w:val="Compact"/>
            </w:pPr>
            <w:r>
              <w:t xml:space="preserve">—</w:t>
            </w:r>
          </w:p>
        </w:tc>
        <w:tc>
          <w:tcPr/>
          <w:p>
            <w:pPr>
              <w:pStyle w:val="Compact"/>
            </w:pPr>
            <w:r>
              <w:rPr>
                <w:b/>
                <w:bCs/>
              </w:rPr>
              <w:t xml:space="preserve">Ara toplam (sayısal, idrar dışı)</w:t>
            </w:r>
          </w:p>
        </w:tc>
        <w:tc>
          <w:tcPr/>
          <w:p>
            <w:pPr>
              <w:pStyle w:val="Compact"/>
            </w:pPr>
            <w:r>
              <w:rPr>
                <w:b/>
                <w:bCs/>
              </w:rPr>
              <w:t xml:space="preserve">105</w:t>
            </w:r>
          </w:p>
        </w:tc>
        <w:tc>
          <w:tcPr/>
          <w:p>
            <w:pPr>
              <w:pStyle w:val="Compact"/>
            </w:pPr>
            <w:r>
              <w:rPr>
                <w:b/>
                <w:bCs/>
              </w:rPr>
              <w:t xml:space="preserve">2.030</w:t>
            </w:r>
          </w:p>
        </w:tc>
        <w:tc>
          <w:tcPr/>
          <w:p>
            <w:pPr>
              <w:pStyle w:val="Compact"/>
            </w:pPr>
            <w:r>
              <w:t xml:space="preserve">—</w:t>
            </w:r>
          </w:p>
        </w:tc>
      </w:tr>
      <w:tr>
        <w:tc>
          <w:tcPr/>
          <w:p>
            <w:pPr>
              <w:pStyle w:val="Compact"/>
            </w:pPr>
            <w:r>
              <w:t xml:space="preserve">—</w:t>
            </w:r>
          </w:p>
        </w:tc>
        <w:tc>
          <w:tcPr/>
          <w:p>
            <w:pPr>
              <w:pStyle w:val="Compact"/>
            </w:pPr>
            <w:r>
              <w:t xml:space="preserve">İdrar paneli — sayısal (pH, dansite, RBC/HPF)</w:t>
            </w:r>
          </w:p>
        </w:tc>
        <w:tc>
          <w:tcPr/>
          <w:p>
            <w:pPr>
              <w:pStyle w:val="Compact"/>
            </w:pPr>
            <w:r>
              <w:t xml:space="preserve">3</w:t>
            </w:r>
          </w:p>
        </w:tc>
        <w:tc>
          <w:tcPr/>
          <w:p>
            <w:pPr>
              <w:pStyle w:val="Compact"/>
            </w:pPr>
            <w:r>
              <w:t xml:space="preserve">3</w:t>
            </w:r>
          </w:p>
        </w:tc>
        <w:tc>
          <w:tcPr/>
          <w:p>
            <w:pPr>
              <w:pStyle w:val="Compact"/>
            </w:pPr>
            <w:r>
              <w:t xml:space="preserve">08.09</w:t>
            </w:r>
          </w:p>
        </w:tc>
      </w:tr>
      <w:tr>
        <w:tc>
          <w:tcPr/>
          <w:p>
            <w:pPr>
              <w:pStyle w:val="Compact"/>
            </w:pPr>
            <w:r>
              <w:t xml:space="preserve">—</w:t>
            </w:r>
          </w:p>
        </w:tc>
        <w:tc>
          <w:tcPr/>
          <w:p>
            <w:pPr>
              <w:pStyle w:val="Compact"/>
            </w:pPr>
            <w:r>
              <w:t xml:space="preserve">İdrar paneli — kalitatif (metinsel, 108'e dahil değil)</w:t>
            </w:r>
          </w:p>
        </w:tc>
        <w:tc>
          <w:tcPr/>
          <w:p>
            <w:pPr>
              <w:pStyle w:val="Compact"/>
            </w:pPr>
            <w:r>
              <w:t xml:space="preserve">22</w:t>
            </w:r>
          </w:p>
        </w:tc>
        <w:tc>
          <w:tcPr/>
          <w:p>
            <w:pPr>
              <w:pStyle w:val="Compact"/>
            </w:pPr>
            <w:r>
              <w:t xml:space="preserve">22</w:t>
            </w:r>
          </w:p>
        </w:tc>
        <w:tc>
          <w:tcPr/>
          <w:p>
            <w:pPr>
              <w:pStyle w:val="Compact"/>
            </w:pPr>
            <w:r>
              <w:t xml:space="preserve">08.09</w:t>
            </w:r>
          </w:p>
        </w:tc>
      </w:tr>
      <w:tr>
        <w:tc>
          <w:tcPr/>
          <w:p>
            <w:pPr>
              <w:pStyle w:val="Compact"/>
            </w:pPr>
            <w:r>
              <w:t xml:space="preserve">—</w:t>
            </w:r>
          </w:p>
        </w:tc>
        <w:tc>
          <w:tcPr/>
          <w:p>
            <w:pPr>
              <w:pStyle w:val="Compact"/>
            </w:pPr>
            <w:r>
              <w:rPr>
                <w:b/>
                <w:bCs/>
              </w:rPr>
              <w:t xml:space="preserve">Kanonik toplam</w:t>
            </w:r>
          </w:p>
        </w:tc>
        <w:tc>
          <w:tcPr/>
          <w:p>
            <w:pPr>
              <w:pStyle w:val="Compact"/>
            </w:pPr>
            <w:r>
              <w:rPr>
                <w:b/>
                <w:bCs/>
              </w:rPr>
              <w:t xml:space="preserve">108</w:t>
            </w:r>
          </w:p>
        </w:tc>
        <w:tc>
          <w:tcPr/>
          <w:p>
            <w:pPr>
              <w:pStyle w:val="Compact"/>
            </w:pPr>
            <w:r>
              <w:rPr>
                <w:b/>
                <w:bCs/>
              </w:rPr>
              <w:t xml:space="preserve">2.033</w:t>
            </w:r>
          </w:p>
        </w:tc>
        <w:tc>
          <w:tcPr/>
          <w:p>
            <w:pPr>
              <w:pStyle w:val="Compact"/>
            </w:pPr>
            <w:r>
              <w:t xml:space="preserve">—</w:t>
            </w:r>
          </w:p>
        </w:tc>
      </w:tr>
    </w:tbl>
    <w:p>
      <w:pPr>
        <w:pStyle w:val="BodyText"/>
      </w:pPr>
      <w:r>
        <w:t xml:space="preserve">Kalan 38 kayıt, kan gazı panelinin metinsel/kalitatif türevleridir ve sayısal parametre sayımına dahil edilmemiştir (2.071 toplam sonuç − 2.033 sayısal = 38).</w:t>
      </w:r>
    </w:p>
    <w:bookmarkStart w:id="28" w:name="Xdd7e92c06c4610154a9faf494187d680e9074d0"/>
    <w:p>
      <w:pPr>
        <w:pStyle w:val="Heading3"/>
      </w:pPr>
      <w:r>
        <w:t xml:space="preserve">4.1 Antikoagülasyon Kalite Metriği — Rosendaal Lineer İnterpolasyon TTR</w:t>
      </w:r>
    </w:p>
    <w:p>
      <w:pPr>
        <w:pStyle w:val="FirstParagraph"/>
      </w:pPr>
      <w:r>
        <w:t xml:space="preserve">Rosendaal yöntemi, ardışık iki INR ölçümü arasında doğrusal değişim varsayarak terapötik aralıkta geçirilen gün oranını hesaplar (Rosendaal et al., 1993). 40 ölçümlü seri üzerinde 2.0–3.0 hedef koridoru için: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Pencere</w:t>
            </w:r>
          </w:p>
        </w:tc>
        <w:tc>
          <w:tcPr/>
          <w:p>
            <w:pPr>
              <w:pStyle w:val="Compact"/>
            </w:pPr>
            <w:r>
              <w:t xml:space="preserve">n</w:t>
            </w:r>
          </w:p>
        </w:tc>
        <w:tc>
          <w:tcPr/>
          <w:p>
            <w:pPr>
              <w:pStyle w:val="Compact"/>
            </w:pPr>
            <w:r>
              <w:t xml:space="preserve">Kapsanan gün</w:t>
            </w:r>
          </w:p>
        </w:tc>
        <w:tc>
          <w:tcPr/>
          <w:p>
            <w:pPr>
              <w:pStyle w:val="Compact"/>
            </w:pPr>
            <w:r>
              <w:rPr>
                <w:b/>
                <w:bCs/>
              </w:rPr>
              <w:t xml:space="preserve">TTR</w:t>
            </w:r>
          </w:p>
        </w:tc>
        <w:tc>
          <w:tcPr/>
          <w:p>
            <w:pPr>
              <w:pStyle w:val="Compact"/>
            </w:pPr>
            <w:r>
              <w:t xml:space="preserve">Yorum</w:t>
            </w:r>
          </w:p>
        </w:tc>
      </w:tr>
      <w:tr>
        <w:tc>
          <w:tcPr/>
          <w:p>
            <w:pPr>
              <w:pStyle w:val="Compact"/>
            </w:pPr>
            <w:r>
              <w:t xml:space="preserve">Tüm seri (19.02 – 15.09)</w:t>
            </w:r>
          </w:p>
        </w:tc>
        <w:tc>
          <w:tcPr/>
          <w:p>
            <w:pPr>
              <w:pStyle w:val="Compact"/>
            </w:pPr>
            <w:r>
              <w:t xml:space="preserve">40</w:t>
            </w:r>
          </w:p>
        </w:tc>
        <w:tc>
          <w:tcPr/>
          <w:p>
            <w:pPr>
              <w:pStyle w:val="Compact"/>
            </w:pPr>
            <w:r>
              <w:t xml:space="preserve">207.9</w:t>
            </w:r>
          </w:p>
        </w:tc>
        <w:tc>
          <w:tcPr/>
          <w:p>
            <w:pPr>
              <w:pStyle w:val="Compact"/>
            </w:pPr>
            <w:r>
              <w:rPr>
                <w:b/>
                <w:bCs/>
              </w:rPr>
              <w:t xml:space="preserve">%53.7</w:t>
            </w:r>
          </w:p>
        </w:tc>
        <w:tc>
          <w:tcPr/>
          <w:p>
            <w:pPr>
              <w:pStyle w:val="Compact"/>
            </w:pPr>
            <w:r>
              <w:t xml:space="preserve">Mart aşırı-antikoagülasyonu tarafından ağır biçimde aşağı çekilmiştir</w:t>
            </w:r>
          </w:p>
        </w:tc>
      </w:tr>
      <w:tr>
        <w:tc>
          <w:tcPr/>
          <w:p>
            <w:pPr>
              <w:pStyle w:val="Compact"/>
            </w:pPr>
            <w:r>
              <w:t xml:space="preserve">01.04 – 15.09 (stabilizasyon sonrası)</w:t>
            </w:r>
          </w:p>
        </w:tc>
        <w:tc>
          <w:tcPr/>
          <w:p>
            <w:pPr>
              <w:pStyle w:val="Compact"/>
            </w:pPr>
            <w:r>
              <w:t xml:space="preserve">21</w:t>
            </w:r>
          </w:p>
        </w:tc>
        <w:tc>
          <w:tcPr/>
          <w:p>
            <w:pPr>
              <w:pStyle w:val="Compact"/>
            </w:pPr>
            <w:r>
              <w:t xml:space="preserve">160.0</w:t>
            </w:r>
          </w:p>
        </w:tc>
        <w:tc>
          <w:tcPr/>
          <w:p>
            <w:pPr>
              <w:pStyle w:val="Compact"/>
            </w:pPr>
            <w:r>
              <w:rPr>
                <w:b/>
                <w:bCs/>
              </w:rPr>
              <w:t xml:space="preserve">%68.1</w:t>
            </w:r>
          </w:p>
        </w:tc>
        <w:tc>
          <w:tcPr/>
          <w:p>
            <w:pPr>
              <w:pStyle w:val="Compact"/>
            </w:pPr>
            <w:r>
              <w:t xml:space="preserve">Kabul edilebilir eşiğe yakın</w:t>
            </w:r>
          </w:p>
        </w:tc>
      </w:tr>
      <w:tr>
        <w:tc>
          <w:tcPr/>
          <w:p>
            <w:pPr>
              <w:pStyle w:val="Compact"/>
            </w:pPr>
            <w:r>
              <w:t xml:space="preserve">01.08 – 15.09 (son dönem)</w:t>
            </w:r>
          </w:p>
        </w:tc>
        <w:tc>
          <w:tcPr/>
          <w:p>
            <w:pPr>
              <w:pStyle w:val="Compact"/>
            </w:pPr>
            <w:r>
              <w:t xml:space="preserve">8</w:t>
            </w:r>
          </w:p>
        </w:tc>
        <w:tc>
          <w:tcPr/>
          <w:p>
            <w:pPr>
              <w:pStyle w:val="Compact"/>
            </w:pPr>
            <w:r>
              <w:t xml:space="preserve">43.0</w:t>
            </w:r>
          </w:p>
        </w:tc>
        <w:tc>
          <w:tcPr/>
          <w:p>
            <w:pPr>
              <w:pStyle w:val="Compact"/>
            </w:pPr>
            <w:r>
              <w:rPr>
                <w:b/>
                <w:bCs/>
              </w:rPr>
              <w:t xml:space="preserve">%73.0</w:t>
            </w:r>
          </w:p>
        </w:tc>
        <w:tc>
          <w:tcPr/>
          <w:p>
            <w:pPr>
              <w:pStyle w:val="Compact"/>
            </w:pPr>
            <w:r>
              <w:t xml:space="preserve">İyi kontrol</w:t>
            </w:r>
          </w:p>
        </w:tc>
      </w:tr>
    </w:tbl>
    <w:p>
      <w:pPr>
        <w:pStyle w:val="BodyText"/>
      </w:pPr>
      <w:r>
        <w:rPr>
          <w:b/>
          <w:bCs/>
        </w:rPr>
        <w:t xml:space="preserve">Ek dağılım metrikleri (n=40):</w:t>
      </w:r>
      <w:r>
        <w:t xml:space="preserve"> </w:t>
      </w:r>
      <w:r>
        <w:t xml:space="preserve">Nokta bazlı hedef içi oran %27.5 (11/40); hedef altı %55.0 (22/40); hedef üstü %17.5 (7/40). Ortalama INR 2.44, medyan 1.93, SD 1.62,</w:t>
      </w:r>
      <w:r>
        <w:t xml:space="preserve"> </w:t>
      </w:r>
      <w:r>
        <w:rPr>
          <w:b/>
          <w:bCs/>
        </w:rPr>
        <w:t xml:space="preserve">varyasyon katsayısı %66.4</w:t>
      </w:r>
      <w:r>
        <w:t xml:space="preserve">.</w:t>
      </w:r>
    </w:p>
    <w:p>
      <w:pPr>
        <w:pStyle w:val="BodyText"/>
      </w:pPr>
      <w:r>
        <w:rPr>
          <w:b/>
          <w:bCs/>
        </w:rPr>
        <w:t xml:space="preserve">Yorum.</w:t>
      </w:r>
      <w:r>
        <w:t xml:space="preserve"> </w:t>
      </w:r>
      <w:r>
        <w:t xml:space="preserve">Genel TTR %53.7, mekanik kapak hastaları için hedeflenen ≥%70 eşiğinin altındadır (Praz et al., 2025). Ancak bu tek sayı yanıltıcıdır: Mart ayındaki altı adet ≥4.5 INR ölçümü (zirve 8.46) tek başına toplam TTR'yi yaklaşık 14 puan aşağı çekmektedir. Stabilizasyon sonrası dönem (%68.1) ve son 45 gün (%73.0) kılavuz hedefine ulaşmış durumdadır. Yüksek varyasyon katsayısı (%66.4) ise dört antibiyotik küru, iki hastane yatışı ve iki köprüleme dönemi içeren bir seyirde beklenen düzeydedir.</w:t>
      </w:r>
    </w:p>
    <w:p>
      <w:pPr>
        <w:pStyle w:val="BodyText"/>
      </w:pPr>
      <w:r>
        <w:rPr>
          <w:b/>
          <w:bCs/>
        </w:rPr>
        <w:t xml:space="preserve">Metodolojik not.</w:t>
      </w:r>
      <w:r>
        <w:t xml:space="preserve"> </w:t>
      </w:r>
      <w:r>
        <w:t xml:space="preserve">Önceki v2 raporunda %54.6 olarak bildirilen TTR, bu kanonik hesaplamada</w:t>
      </w:r>
      <w:r>
        <w:t xml:space="preserve"> </w:t>
      </w:r>
      <w:r>
        <w:rPr>
          <w:b/>
          <w:bCs/>
        </w:rPr>
        <w:t xml:space="preserve">%53.7</w:t>
      </w:r>
      <w:r>
        <w:t xml:space="preserve"> </w:t>
      </w:r>
      <w:r>
        <w:t xml:space="preserve">olarak bulunmuştur (gün-granüler varyantta %53.4; cerrahi tarihinden başlatıldığında %54.0). Fark, segment sınırlarının ele alınışından kaynaklanmaktadır ve klinik yorumu değiştirmez. Kanonik değer %53.7 kabul edilmiştir.</w:t>
      </w:r>
    </w:p>
    <w:bookmarkEnd w:id="28"/>
    <w:bookmarkStart w:id="29" w:name="X68a206e966d5d7f79e165597788b6df03f7eca1"/>
    <w:p>
      <w:pPr>
        <w:pStyle w:val="Heading3"/>
      </w:pPr>
      <w:r>
        <w:t xml:space="preserve">4.2 Hemoglobin ve Demir Kinetiği Sentezi</w:t>
      </w:r>
    </w:p>
    <w:p>
      <w:pPr>
        <w:pStyle w:val="FirstParagraph"/>
      </w:pPr>
      <w:r>
        <w:t xml:space="preserve">Hemoglobin 32 ölçümlük seride üç fazlı seyir izlemiştir: cerrahi düşüş (14.0 → 8.0 g/dL, Şubat), kademeli toparlanma (→ 11.5 g/dL, 15 Haziran), ikinci düşüş (→ 7.7 g/dL, 27 Temmuz sternal dehissens dönemi) ve ardından</w:t>
      </w:r>
      <w:r>
        <w:t xml:space="preserve"> </w:t>
      </w:r>
      <w:r>
        <w:rPr>
          <w:b/>
          <w:bCs/>
        </w:rPr>
        <w:t xml:space="preserve">9.5–9.7 g/dL bandında plato</w:t>
      </w:r>
      <w:r>
        <w:t xml:space="preserve"> </w:t>
      </w:r>
      <w:r>
        <w:t xml:space="preserve">(Ağustos–Eylül, son altı ölçüm).</w:t>
      </w:r>
    </w:p>
    <w:p>
      <w:pPr>
        <w:pStyle w:val="BodyText"/>
      </w:pPr>
      <w:r>
        <w:t xml:space="preserve">Eritrosit indeksleri bu platonun karakterini açıklamaktadır. MCV 88.0 → 76.7 fL, MCH 30.8 → 24.6 pg olarak gerilerken RDW-CV 13.9 → 18.2'ye yükselmiştir. Normositer başlayıp progresif mikrositer-hipokrom hale gelen ve anizositozu artan bu profil, akut cerrahi kayıp anemisinin üzerine</w:t>
      </w:r>
      <w:r>
        <w:t xml:space="preserve"> </w:t>
      </w:r>
      <w:r>
        <w:rPr>
          <w:b/>
          <w:bCs/>
        </w:rPr>
        <w:t xml:space="preserve">eklenmiş kronik demir eksikliğini</w:t>
      </w:r>
      <w:r>
        <w:t xml:space="preserve"> </w:t>
      </w:r>
      <w:r>
        <w:t xml:space="preserve">gösterir (Camaschella, 2015). Ferritin 19 µg/L, serum demiri 15 µg/dL ve hesaplanan TSAT %4.4, tanıyı doğrulamaktadır. B12 (638 pg/mL) ve folat (4.76 ng/mL) yeterli düzeydedir; dolayısıyla mikst anemi tablosu söz konusu değildir.</w:t>
      </w:r>
    </w:p>
    <w:p>
      <w:pPr>
        <w:pStyle w:val="BodyText"/>
      </w:pPr>
      <w:r>
        <w:rPr>
          <w:b/>
          <w:bCs/>
        </w:rPr>
        <w:t xml:space="preserve">Kritik boşluk:</w:t>
      </w:r>
      <w:r>
        <w:t xml:space="preserve"> </w:t>
      </w:r>
      <w:r>
        <w:t xml:space="preserve">Demir paneli tüm seyirde yalnızca</w:t>
      </w:r>
      <w:r>
        <w:t xml:space="preserve"> </w:t>
      </w:r>
      <w:r>
        <w:rPr>
          <w:b/>
          <w:bCs/>
        </w:rPr>
        <w:t xml:space="preserve">bir kez</w:t>
      </w:r>
      <w:r>
        <w:t xml:space="preserve"> </w:t>
      </w:r>
      <w:r>
        <w:t xml:space="preserve">(08.09.2026) çalışılmıştır. Replasman yanıtının objektif değerlendirilmesi için Test #90 tarihinden itibaren 4–6 haftalık kontrol zorunludur; demir replasmanına yanıtta hemoglobinde 2–4 hafta içinde ≥1 g/dL artış beklenir (Snook et al., 2021).</w:t>
      </w:r>
    </w:p>
    <w:bookmarkEnd w:id="29"/>
    <w:bookmarkStart w:id="30" w:name="Xb1b0fffbb745f1d93a9cb3e09c9af5c50f338d7"/>
    <w:p>
      <w:pPr>
        <w:pStyle w:val="Heading3"/>
      </w:pPr>
      <w:r>
        <w:t xml:space="preserve">4.3 Hemodinamik Profil (500 Ölçüm)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Pencere</w:t>
            </w:r>
          </w:p>
        </w:tc>
        <w:tc>
          <w:tcPr/>
          <w:p>
            <w:pPr>
              <w:pStyle w:val="Compact"/>
            </w:pPr>
            <w:r>
              <w:t xml:space="preserve">n</w:t>
            </w:r>
          </w:p>
        </w:tc>
        <w:tc>
          <w:tcPr/>
          <w:p>
            <w:pPr>
              <w:pStyle w:val="Compact"/>
            </w:pPr>
            <w:r>
              <w:t xml:space="preserve">Ortalama</w:t>
            </w:r>
          </w:p>
        </w:tc>
        <w:tc>
          <w:tcPr/>
          <w:p>
            <w:pPr>
              <w:pStyle w:val="Compact"/>
            </w:pPr>
            <w:r>
              <w:t xml:space="preserve">SD</w:t>
            </w:r>
          </w:p>
        </w:tc>
        <w:tc>
          <w:tcPr/>
          <w:p>
            <w:pPr>
              <w:pStyle w:val="Compact"/>
            </w:pPr>
            <w:r>
              <w:t xml:space="preserve">Maksimum</w:t>
            </w:r>
          </w:p>
        </w:tc>
        <w:tc>
          <w:tcPr/>
          <w:p>
            <w:pPr>
              <w:pStyle w:val="Compact"/>
            </w:pPr>
            <w:r>
              <w:t xml:space="preserve">&lt;130/80 kontrol oranı</w:t>
            </w:r>
          </w:p>
        </w:tc>
      </w:tr>
      <w:tr>
        <w:tc>
          <w:tcPr/>
          <w:p>
            <w:pPr>
              <w:pStyle w:val="Compact"/>
            </w:pPr>
            <w:r>
              <w:t xml:space="preserve">Tüm seri (07.03 – 15.09)</w:t>
            </w:r>
          </w:p>
        </w:tc>
        <w:tc>
          <w:tcPr/>
          <w:p>
            <w:pPr>
              <w:pStyle w:val="Compact"/>
            </w:pPr>
            <w:r>
              <w:t xml:space="preserve">500</w:t>
            </w:r>
          </w:p>
        </w:tc>
        <w:tc>
          <w:tcPr/>
          <w:p>
            <w:pPr>
              <w:pStyle w:val="Compact"/>
            </w:pPr>
            <w:r>
              <w:t xml:space="preserve">117.4/80.0</w:t>
            </w:r>
          </w:p>
        </w:tc>
        <w:tc>
          <w:tcPr/>
          <w:p>
            <w:pPr>
              <w:pStyle w:val="Compact"/>
            </w:pPr>
            <w:r>
              <w:t xml:space="preserve">12.7/7.2</w:t>
            </w:r>
          </w:p>
        </w:tc>
        <w:tc>
          <w:tcPr/>
          <w:p>
            <w:pPr>
              <w:pStyle w:val="Compact"/>
            </w:pPr>
            <w:r>
              <w:t xml:space="preserve">168/103 (18.04)</w:t>
            </w:r>
          </w:p>
        </w:tc>
        <w:tc>
          <w:tcPr/>
          <w:p>
            <w:pPr>
              <w:pStyle w:val="Compact"/>
            </w:pPr>
            <w:r>
              <w:t xml:space="preserve">%47.2</w:t>
            </w:r>
          </w:p>
        </w:tc>
      </w:tr>
      <w:tr>
        <w:tc>
          <w:tcPr/>
          <w:p>
            <w:pPr>
              <w:pStyle w:val="Compact"/>
            </w:pPr>
            <w:r>
              <w:t xml:space="preserve">Son 30 gün</w:t>
            </w:r>
          </w:p>
        </w:tc>
        <w:tc>
          <w:tcPr/>
          <w:p>
            <w:pPr>
              <w:pStyle w:val="Compact"/>
            </w:pPr>
            <w:r>
              <w:t xml:space="preserve">67</w:t>
            </w:r>
          </w:p>
        </w:tc>
        <w:tc>
          <w:tcPr/>
          <w:p>
            <w:pPr>
              <w:pStyle w:val="Compact"/>
            </w:pPr>
            <w:r>
              <w:t xml:space="preserve">114.4/77.0</w:t>
            </w:r>
          </w:p>
        </w:tc>
        <w:tc>
          <w:tcPr/>
          <w:p>
            <w:pPr>
              <w:pStyle w:val="Compact"/>
            </w:pPr>
            <w:r>
              <w:t xml:space="preserve">7.9/5.1</w:t>
            </w:r>
          </w:p>
        </w:tc>
        <w:tc>
          <w:tcPr/>
          <w:p>
            <w:pPr>
              <w:pStyle w:val="Compact"/>
            </w:pPr>
            <w:r>
              <w:t xml:space="preserve">132/89</w:t>
            </w:r>
          </w:p>
        </w:tc>
        <w:tc>
          <w:tcPr/>
          <w:p>
            <w:pPr>
              <w:pStyle w:val="Compact"/>
            </w:pPr>
            <w:r>
              <w:t xml:space="preserve">%70.1</w:t>
            </w:r>
          </w:p>
        </w:tc>
      </w:tr>
      <w:tr>
        <w:tc>
          <w:tcPr/>
          <w:p>
            <w:pPr>
              <w:pStyle w:val="Compact"/>
            </w:pPr>
            <w:r>
              <w:t xml:space="preserve">Son 7 gün</w:t>
            </w:r>
          </w:p>
        </w:tc>
        <w:tc>
          <w:tcPr/>
          <w:p>
            <w:pPr>
              <w:pStyle w:val="Compact"/>
            </w:pPr>
            <w:r>
              <w:t xml:space="preserve">14</w:t>
            </w:r>
          </w:p>
        </w:tc>
        <w:tc>
          <w:tcPr/>
          <w:p>
            <w:pPr>
              <w:pStyle w:val="Compact"/>
            </w:pPr>
            <w:r>
              <w:rPr>
                <w:b/>
                <w:bCs/>
              </w:rPr>
              <w:t xml:space="preserve">113.3/75.9</w:t>
            </w:r>
          </w:p>
        </w:tc>
        <w:tc>
          <w:tcPr/>
          <w:p>
            <w:pPr>
              <w:pStyle w:val="Compact"/>
            </w:pPr>
            <w:r>
              <w:t xml:space="preserve">6.5/4.0</w:t>
            </w:r>
          </w:p>
        </w:tc>
        <w:tc>
          <w:tcPr/>
          <w:p>
            <w:pPr>
              <w:pStyle w:val="Compact"/>
            </w:pPr>
            <w:r>
              <w:t xml:space="preserve">120/82</w:t>
            </w:r>
          </w:p>
        </w:tc>
        <w:tc>
          <w:tcPr/>
          <w:p>
            <w:pPr>
              <w:pStyle w:val="Compact"/>
            </w:pPr>
            <w:r>
              <w:t xml:space="preserve">%78.6</w:t>
            </w:r>
          </w:p>
        </w:tc>
      </w:tr>
      <w:tr>
        <w:tc>
          <w:tcPr/>
          <w:p>
            <w:pPr>
              <w:pStyle w:val="Compact"/>
            </w:pPr>
            <w:r>
              <w:t xml:space="preserve">15 Eylül</w:t>
            </w:r>
          </w:p>
        </w:tc>
        <w:tc>
          <w:tcPr/>
          <w:p>
            <w:pPr>
              <w:pStyle w:val="Compact"/>
            </w:pPr>
            <w:r>
              <w:t xml:space="preserve">2</w:t>
            </w:r>
          </w:p>
        </w:tc>
        <w:tc>
          <w:tcPr/>
          <w:p>
            <w:pPr>
              <w:pStyle w:val="Compact"/>
            </w:pPr>
            <w:r>
              <w:t xml:space="preserve">115.0/76.5</w:t>
            </w:r>
          </w:p>
        </w:tc>
        <w:tc>
          <w:tcPr/>
          <w:p>
            <w:pPr>
              <w:pStyle w:val="Compact"/>
            </w:pPr>
            <w:r>
              <w:t xml:space="preserve">—</w:t>
            </w:r>
          </w:p>
        </w:tc>
        <w:tc>
          <w:tcPr/>
          <w:p>
            <w:pPr>
              <w:pStyle w:val="Compact"/>
            </w:pPr>
            <w:r>
              <w:t xml:space="preserve">116/75</w:t>
            </w:r>
          </w:p>
        </w:tc>
        <w:tc>
          <w:tcPr/>
          <w:p>
            <w:pPr>
              <w:pStyle w:val="Compact"/>
            </w:pPr>
            <w:r>
              <w:t xml:space="preserve">—</w:t>
            </w:r>
          </w:p>
        </w:tc>
      </w:tr>
    </w:tbl>
    <w:p>
      <w:pPr>
        <w:pStyle w:val="BodyText"/>
      </w:pPr>
      <w:r>
        <w:t xml:space="preserve">Seride ≥180/110 mmHg ölçüm</w:t>
      </w:r>
      <w:r>
        <w:t xml:space="preserve"> </w:t>
      </w:r>
      <w:r>
        <w:rPr>
          <w:b/>
          <w:bCs/>
        </w:rPr>
        <w:t xml:space="preserve">bulunmamaktadır</w:t>
      </w:r>
      <w:r>
        <w:t xml:space="preserve">; kaydedilen en yüksek değer 18 Nisan'daki 168/103 mmHg'dir. Sistolik standart sapmanın 12.7'den 6.5'e gerilemesi, Coversyl eklenmesinden (04.08) sonra atım-atım değişkenliğinin belirgin biçimde azaldığını göstermektedir. Rezidüel Tip B diseksiyonunda hedef, hem mutlak basıncın hem de dP/dt kesme stresinin düşük tutulmasıdır; mevcut profil bu hedefle uyumludur (Isselbacher et al., 2022; McEvoy et al., 2024).</w:t>
      </w:r>
    </w:p>
    <w:bookmarkEnd w:id="30"/>
    <w:bookmarkStart w:id="31" w:name="X63863f02766456eeb2bfaa342481990c53452f4"/>
    <w:p>
      <w:pPr>
        <w:pStyle w:val="Heading3"/>
      </w:pPr>
      <w:r>
        <w:t xml:space="preserve">4.4 Antropometrik Seyir (180 Ölçüm)</w:t>
      </w:r>
    </w:p>
    <w:p>
      <w:pPr>
        <w:pStyle w:val="FirstParagraph"/>
      </w:pPr>
      <w:r>
        <w:t xml:space="preserve">Kilo 4 Mart'ta 85.3 kg iken 16 Eylül'de 78.9 kg'dir (Δ −6.4 kg, −%7.5). Serinin nadiri 74.8 kg'dir. Son 7 günlük ortalama 78.9 kg, BKİ 26.1 kg/m². Ağustos ortasından bu yana ±1 kg bandında seyreden stabil profil, postoperatif katabolik fazın kapandığını ve volüm dengesinin korunduğunu göstermektedir.</w:t>
      </w:r>
    </w:p>
    <w:bookmarkEnd w:id="31"/>
    <w:bookmarkStart w:id="32" w:name="X6ebad5fc490fd5ac8b5dfc13e4f1288d9c52fc3"/>
    <w:p>
      <w:pPr>
        <w:pStyle w:val="Heading3"/>
      </w:pPr>
      <w:r>
        <w:t xml:space="preserve">4.5 Renal Fonksiyon Trendi</w:t>
      </w:r>
    </w:p>
    <w:p>
      <w:pPr>
        <w:pStyle w:val="FirstParagraph"/>
      </w:pPr>
      <w:r>
        <w:t xml:space="preserve">eGFR 23 Temmuz'da 94.0 mL/dk/1.73 m² iken 15 Eylül'de</w:t>
      </w:r>
      <w:r>
        <w:t xml:space="preserve"> </w:t>
      </w:r>
      <w:r>
        <w:rPr>
          <w:b/>
          <w:bCs/>
        </w:rPr>
        <w:t xml:space="preserve">70.89 mL/dk/1.73 m²</w:t>
      </w:r>
      <w:r>
        <w:t xml:space="preserve">'ye gerilemiştir (−%24.6, 54 gün). Kreatinin aynı dönemde 0.80 → 1.11 mg/dL yükselmiştir. Her iki değer de laboratuvar referans aralığında kalmakla birlikte trend yönü izlenmelidir: hasta ACE inhibitörü (Coversyl) altındadır ve aynı panelde potasyum 5.05 mmol/L ile serinin en yüksek değerine ulaşmıştır. ACE inhibitörü kullanımında eGFR düşüşü ve hiperkalemi birlikte değerlendirilmelidir (KDIGO, 2024).</w:t>
      </w:r>
    </w:p>
    <w:p>
      <w:r>
        <w:pict>
          <v:rect style="width:0;height:1.5pt" o:hralign="center" o:hrstd="t" o:hr="t"/>
        </w:pict>
      </w:r>
    </w:p>
    <w:bookmarkEnd w:id="32"/>
    <w:bookmarkEnd w:id="33"/>
    <w:bookmarkStart w:id="36" w:name="Xf908717ed7c28d4b929e81d18b981d15404a7f6"/>
    <w:p>
      <w:pPr>
        <w:pStyle w:val="Heading2"/>
      </w:pPr>
      <w:r>
        <w:t xml:space="preserve">5. Farmakoterapi Rejimi ve Etkileşimler</w:t>
      </w:r>
    </w:p>
    <w:bookmarkStart w:id="34" w:name="Xf77e96d66ea94e7a04314126e2326c12fb34cc1"/>
    <w:p>
      <w:pPr>
        <w:pStyle w:val="Heading3"/>
      </w:pPr>
      <w:r>
        <w:t xml:space="preserve">5.1 Güncel Aktif Rejim (16.09.2026)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İlaç</w:t>
            </w:r>
          </w:p>
        </w:tc>
        <w:tc>
          <w:tcPr/>
          <w:p>
            <w:pPr>
              <w:pStyle w:val="Compact"/>
            </w:pPr>
            <w:r>
              <w:t xml:space="preserve">Doz</w:t>
            </w:r>
          </w:p>
        </w:tc>
        <w:tc>
          <w:tcPr/>
          <w:p>
            <w:pPr>
              <w:pStyle w:val="Compact"/>
            </w:pPr>
            <w:r>
              <w:t xml:space="preserve">Sıklık</w:t>
            </w:r>
          </w:p>
        </w:tc>
        <w:tc>
          <w:tcPr/>
          <w:p>
            <w:pPr>
              <w:pStyle w:val="Compact"/>
            </w:pPr>
            <w:r>
              <w:t xml:space="preserve">Endikasyon</w:t>
            </w:r>
          </w:p>
        </w:tc>
        <w:tc>
          <w:tcPr/>
          <w:p>
            <w:pPr>
              <w:pStyle w:val="Compact"/>
            </w:pPr>
            <w:r>
              <w:t xml:space="preserve">Başlangıç</w:t>
            </w:r>
          </w:p>
        </w:tc>
      </w:tr>
      <w:tr>
        <w:tc>
          <w:tcPr/>
          <w:p>
            <w:pPr>
              <w:pStyle w:val="Compact"/>
            </w:pPr>
            <w:r>
              <w:t xml:space="preserve">Warfmadin (varfarin)</w:t>
            </w:r>
          </w:p>
        </w:tc>
        <w:tc>
          <w:tcPr/>
          <w:p>
            <w:pPr>
              <w:pStyle w:val="Compact"/>
            </w:pPr>
            <w:r>
              <w:t xml:space="preserve">20 mg</w:t>
            </w:r>
          </w:p>
        </w:tc>
        <w:tc>
          <w:tcPr/>
          <w:p>
            <w:pPr>
              <w:pStyle w:val="Compact"/>
            </w:pPr>
            <w:r>
              <w:t xml:space="preserve">Haftalık toplam</w:t>
            </w:r>
          </w:p>
        </w:tc>
        <w:tc>
          <w:tcPr/>
          <w:p>
            <w:pPr>
              <w:pStyle w:val="Compact"/>
            </w:pPr>
            <w:r>
              <w:t xml:space="preserve">Mekanik aort kapağı antikoagülasyonu</w:t>
            </w:r>
          </w:p>
        </w:tc>
        <w:tc>
          <w:tcPr/>
          <w:p>
            <w:pPr>
              <w:pStyle w:val="Compact"/>
            </w:pPr>
            <w:r>
              <w:t xml:space="preserve">02.03 (son titrasyon 18.08)</w:t>
            </w:r>
          </w:p>
        </w:tc>
      </w:tr>
      <w:tr>
        <w:tc>
          <w:tcPr/>
          <w:p>
            <w:pPr>
              <w:pStyle w:val="Compact"/>
            </w:pPr>
            <w:r>
              <w:t xml:space="preserve">EcopirinPro (ASA)</w:t>
            </w:r>
          </w:p>
        </w:tc>
        <w:tc>
          <w:tcPr/>
          <w:p>
            <w:pPr>
              <w:pStyle w:val="Compact"/>
            </w:pPr>
            <w:r>
              <w:t xml:space="preserve">81 mg</w:t>
            </w:r>
          </w:p>
        </w:tc>
        <w:tc>
          <w:tcPr/>
          <w:p>
            <w:pPr>
              <w:pStyle w:val="Compact"/>
            </w:pPr>
            <w:r>
              <w:t xml:space="preserve">1×1</w:t>
            </w:r>
          </w:p>
        </w:tc>
        <w:tc>
          <w:tcPr/>
          <w:p>
            <w:pPr>
              <w:pStyle w:val="Compact"/>
            </w:pPr>
            <w:r>
              <w:t xml:space="preserve">Koroner reimplantasyon hattı korunması</w:t>
            </w:r>
          </w:p>
        </w:tc>
        <w:tc>
          <w:tcPr/>
          <w:p>
            <w:pPr>
              <w:pStyle w:val="Compact"/>
            </w:pPr>
            <w:r>
              <w:t xml:space="preserve">02.03 (28.07'de yeniden)</w:t>
            </w:r>
          </w:p>
        </w:tc>
      </w:tr>
      <w:tr>
        <w:tc>
          <w:tcPr/>
          <w:p>
            <w:pPr>
              <w:pStyle w:val="Compact"/>
            </w:pPr>
            <w:r>
              <w:t xml:space="preserve">Dilatrend (karvedilol)</w:t>
            </w:r>
          </w:p>
        </w:tc>
        <w:tc>
          <w:tcPr/>
          <w:p>
            <w:pPr>
              <w:pStyle w:val="Compact"/>
            </w:pPr>
            <w:r>
              <w:t xml:space="preserve">6.25 mg</w:t>
            </w:r>
          </w:p>
        </w:tc>
        <w:tc>
          <w:tcPr/>
          <w:p>
            <w:pPr>
              <w:pStyle w:val="Compact"/>
            </w:pPr>
            <w:r>
              <w:t xml:space="preserve">2×1</w:t>
            </w:r>
          </w:p>
        </w:tc>
        <w:tc>
          <w:tcPr/>
          <w:p>
            <w:pPr>
              <w:pStyle w:val="Compact"/>
            </w:pPr>
            <w:r>
              <w:t xml:space="preserve">Beta blokaj, dP/dt kontrolü</w:t>
            </w:r>
          </w:p>
        </w:tc>
        <w:tc>
          <w:tcPr/>
          <w:p>
            <w:pPr>
              <w:pStyle w:val="Compact"/>
            </w:pPr>
            <w:r>
              <w:t xml:space="preserve">02.03 (28.07'de yeniden)</w:t>
            </w:r>
          </w:p>
        </w:tc>
      </w:tr>
      <w:tr>
        <w:tc>
          <w:tcPr/>
          <w:p>
            <w:pPr>
              <w:pStyle w:val="Compact"/>
            </w:pPr>
            <w:r>
              <w:t xml:space="preserve">Coversyl (perindopril)</w:t>
            </w:r>
          </w:p>
        </w:tc>
        <w:tc>
          <w:tcPr/>
          <w:p>
            <w:pPr>
              <w:pStyle w:val="Compact"/>
            </w:pPr>
            <w:r>
              <w:t xml:space="preserve">5 mg</w:t>
            </w:r>
          </w:p>
        </w:tc>
        <w:tc>
          <w:tcPr/>
          <w:p>
            <w:pPr>
              <w:pStyle w:val="Compact"/>
            </w:pPr>
            <w:r>
              <w:t xml:space="preserve">1×1</w:t>
            </w:r>
          </w:p>
        </w:tc>
        <w:tc>
          <w:tcPr/>
          <w:p>
            <w:pPr>
              <w:pStyle w:val="Compact"/>
            </w:pPr>
            <w:r>
              <w:t xml:space="preserve">Kan basıncı regülasyonu</w:t>
            </w:r>
          </w:p>
        </w:tc>
        <w:tc>
          <w:tcPr/>
          <w:p>
            <w:pPr>
              <w:pStyle w:val="Compact"/>
            </w:pPr>
            <w:r>
              <w:t xml:space="preserve">04.08</w:t>
            </w:r>
          </w:p>
        </w:tc>
      </w:tr>
      <w:tr>
        <w:tc>
          <w:tcPr/>
          <w:p>
            <w:pPr>
              <w:pStyle w:val="Compact"/>
            </w:pPr>
            <w:r>
              <w:t xml:space="preserve">Panto (pantoprazol)</w:t>
            </w:r>
          </w:p>
        </w:tc>
        <w:tc>
          <w:tcPr/>
          <w:p>
            <w:pPr>
              <w:pStyle w:val="Compact"/>
            </w:pPr>
            <w:r>
              <w:t xml:space="preserve">40 mg</w:t>
            </w:r>
          </w:p>
        </w:tc>
        <w:tc>
          <w:tcPr/>
          <w:p>
            <w:pPr>
              <w:pStyle w:val="Compact"/>
            </w:pPr>
            <w:r>
              <w:t xml:space="preserve">1×1</w:t>
            </w:r>
          </w:p>
        </w:tc>
        <w:tc>
          <w:tcPr/>
          <w:p>
            <w:pPr>
              <w:pStyle w:val="Compact"/>
            </w:pPr>
            <w:r>
              <w:t xml:space="preserve">Dual antitrombotik altında GİS koruması</w:t>
            </w:r>
          </w:p>
        </w:tc>
        <w:tc>
          <w:tcPr/>
          <w:p>
            <w:pPr>
              <w:pStyle w:val="Compact"/>
            </w:pPr>
            <w:r>
              <w:t xml:space="preserve">02.03</w:t>
            </w:r>
          </w:p>
        </w:tc>
      </w:tr>
      <w:tr>
        <w:tc>
          <w:tcPr/>
          <w:p>
            <w:pPr>
              <w:pStyle w:val="Compact"/>
            </w:pPr>
            <w:r>
              <w:t xml:space="preserve">Ferro Sanol Duodenal</w:t>
            </w:r>
          </w:p>
        </w:tc>
        <w:tc>
          <w:tcPr/>
          <w:p>
            <w:pPr>
              <w:pStyle w:val="Compact"/>
            </w:pPr>
            <w:r>
              <w:t xml:space="preserve">100 mg</w:t>
            </w:r>
          </w:p>
        </w:tc>
        <w:tc>
          <w:tcPr/>
          <w:p>
            <w:pPr>
              <w:pStyle w:val="Compact"/>
            </w:pPr>
            <w:r>
              <w:t xml:space="preserve">1×1</w:t>
            </w:r>
          </w:p>
        </w:tc>
        <w:tc>
          <w:tcPr/>
          <w:p>
            <w:pPr>
              <w:pStyle w:val="Compact"/>
            </w:pPr>
            <w:r>
              <w:t xml:space="preserve">Demir replasmanı</w:t>
            </w:r>
          </w:p>
        </w:tc>
        <w:tc>
          <w:tcPr/>
          <w:p>
            <w:pPr>
              <w:pStyle w:val="Compact"/>
            </w:pPr>
            <w:r>
              <w:t xml:space="preserve">11.09</w:t>
            </w:r>
          </w:p>
        </w:tc>
      </w:tr>
      <w:tr>
        <w:tc>
          <w:tcPr/>
          <w:p>
            <w:pPr>
              <w:pStyle w:val="Compact"/>
            </w:pPr>
            <w:r>
              <w:t xml:space="preserve">Kapril (kaptopril)</w:t>
            </w:r>
          </w:p>
        </w:tc>
        <w:tc>
          <w:tcPr/>
          <w:p>
            <w:pPr>
              <w:pStyle w:val="Compact"/>
            </w:pPr>
            <w:r>
              <w:t xml:space="preserve">25 mg</w:t>
            </w:r>
          </w:p>
        </w:tc>
        <w:tc>
          <w:tcPr/>
          <w:p>
            <w:pPr>
              <w:pStyle w:val="Compact"/>
            </w:pPr>
            <w:r>
              <w:t xml:space="preserve">PRN dilaltı</w:t>
            </w:r>
          </w:p>
        </w:tc>
        <w:tc>
          <w:tcPr/>
          <w:p>
            <w:pPr>
              <w:pStyle w:val="Compact"/>
            </w:pPr>
            <w:r>
              <w:t xml:space="preserve">Acil antihipertansif</w:t>
            </w:r>
          </w:p>
        </w:tc>
        <w:tc>
          <w:tcPr/>
          <w:p>
            <w:pPr>
              <w:pStyle w:val="Compact"/>
            </w:pPr>
            <w:r>
              <w:t xml:space="preserve">—</w:t>
            </w:r>
          </w:p>
        </w:tc>
      </w:tr>
    </w:tbl>
    <w:p>
      <w:pPr>
        <w:pStyle w:val="BodyText"/>
      </w:pPr>
      <w:r>
        <w:rPr>
          <w:b/>
          <w:bCs/>
        </w:rPr>
        <w:t xml:space="preserve">Sonlandırılmış:</w:t>
      </w:r>
      <w:r>
        <w:t xml:space="preserve"> </w:t>
      </w:r>
      <w:r>
        <w:t xml:space="preserve">Klamoks (11.09, 8 günlük kür tamamlandı), Cordarone (12.03), Apikobal (04.05), Augmentin/Cipro/Sulcid/Oksapar/Coraspin (Temmuz–Ağustos yatış rejimi).</w:t>
      </w:r>
    </w:p>
    <w:bookmarkEnd w:id="34"/>
    <w:bookmarkStart w:id="35" w:name="Xd317a257b540e6d2f3cfbd2a6d93ea50f75ac1f"/>
    <w:p>
      <w:pPr>
        <w:pStyle w:val="Heading3"/>
      </w:pPr>
      <w:r>
        <w:t xml:space="preserve">5.2 Klinik Olarak Anlamlı Etkileşimler</w:t>
      </w:r>
    </w:p>
    <w:p>
      <w:pPr>
        <w:pStyle w:val="FirstParagraph"/>
      </w:pPr>
      <w:r>
        <w:rPr>
          <w:b/>
          <w:bCs/>
        </w:rPr>
        <w:t xml:space="preserve">Varfarin + ASA (dual antitrombotik).</w:t>
      </w:r>
      <w:r>
        <w:t xml:space="preserve"> </w:t>
      </w:r>
      <w:r>
        <w:t xml:space="preserve">Mekanik protez kapak için varfarin zorunlu, koroner buton reimplantasyon hattı için düşük doz ASA eklenmiştir. Bu kombinasyon tromboembolik korumayı güçlendirirken majör kanama riskini tek başına varfarine göre yaklaşık iki katına çıkarır (Praz et al., 2025). Panto'nun aksatılmaması bu nedenle rejimin ayrılmaz parçasıdır.</w:t>
      </w:r>
    </w:p>
    <w:p>
      <w:pPr>
        <w:pStyle w:val="BodyText"/>
      </w:pPr>
      <w:r>
        <w:rPr>
          <w:b/>
          <w:bCs/>
        </w:rPr>
        <w:t xml:space="preserve">Varfarin + antibiyotikler.</w:t>
      </w:r>
      <w:r>
        <w:t xml:space="preserve"> </w:t>
      </w:r>
      <w:r>
        <w:t xml:space="preserve">Hastanın seyrinde en güçlü boylamsal sinyal budur. Mart ayındaki INR 8.46 zirvesi, levofloksasin ve siprofloksasin kullanımıyla zamansal olarak örtüşmektedir; florokinolonlar ve amoksisilin-klavulanat hem CYP inhibisyonu hem de bağırsak flora kaynaklı K vitamini sentezinin baskılanması yoluyla INR'yi yükseltir (Holbrook et al., 2012). Hastanın seyrinde en az beş antibiyotik küru bulunduğundan,</w:t>
      </w:r>
      <w:r>
        <w:t xml:space="preserve"> </w:t>
      </w:r>
      <w:r>
        <w:rPr>
          <w:b/>
          <w:bCs/>
        </w:rPr>
        <w:t xml:space="preserve">her yeni antibiyotik başlangıcında 3–5 gün içinde INR kontrolü</w:t>
      </w:r>
      <w:r>
        <w:t xml:space="preserve"> </w:t>
      </w:r>
      <w:r>
        <w:t xml:space="preserve">bir kural olarak benimsenmelidir.</w:t>
      </w:r>
    </w:p>
    <w:p>
      <w:pPr>
        <w:pStyle w:val="BodyText"/>
      </w:pPr>
      <w:r>
        <w:rPr>
          <w:b/>
          <w:bCs/>
        </w:rPr>
        <w:t xml:space="preserve">Pantoprazol + oral demir.</w:t>
      </w:r>
      <w:r>
        <w:t xml:space="preserve"> </w:t>
      </w:r>
      <w:r>
        <w:t xml:space="preserve">Demirin duodenumdan emilimi ferrik formun ferröz forma indirgenmesini gerektirir ve bu asidik ortama bağımlıdır; PPI'ler mide pH'ını yükselterek oral demir emilimini belirgin biçimde azaltır (Camaschella, 2015; Snook et al., 2021). Ferro Sanol Duodenal enterik kaplı bir formülasyon olsa da ayrım kuralı korunmalıdır: demir sabah aç karnına, pantoprazol en erken 1 saat sonra.</w:t>
      </w:r>
    </w:p>
    <w:p>
      <w:pPr>
        <w:pStyle w:val="BodyText"/>
      </w:pPr>
      <w:r>
        <w:rPr>
          <w:b/>
          <w:bCs/>
        </w:rPr>
        <w:t xml:space="preserve">Perindopril + potasyum.</w:t>
      </w:r>
      <w:r>
        <w:t xml:space="preserve"> </w:t>
      </w:r>
      <w:r>
        <w:t xml:space="preserve">ACE inhibisyonu aldosteron baskılanması yoluyla potasyum retansiyonuna yol açar. 15 Eylül'de potasyum 5.05 mmol/L (serinin zirvesi) ve eGFR 70.89 ile birlikte değerlendirildiğinde, bu iki bulgu aynı mekanizmanın iki yüzü olabilir (McEvoy et al., 2024; KDIGO, 2024).</w:t>
      </w:r>
    </w:p>
    <w:p>
      <w:pPr>
        <w:pStyle w:val="BodyText"/>
      </w:pPr>
      <w:r>
        <w:rPr>
          <w:b/>
          <w:bCs/>
        </w:rPr>
        <w:t xml:space="preserve">Demir + dışkı rengi.</w:t>
      </w:r>
      <w:r>
        <w:t xml:space="preserve"> </w:t>
      </w:r>
      <w:r>
        <w:t xml:space="preserve">Emilmeyen demir artıklarının oksidasyonu dışkıyı siyaha boyar; bu zararsızdır ve tedavinin kesilmesini gerektirmez (Snook et al., 2021). Ancak katran kıvamında, parlak siyah ve kötü kokulu dışkı (melena) GİS kanaması işaretidir ve dual antitrombotik altındaki bir hastada acil değerlendirme gerektirir — bu ayrım hastaya açıkça anlatılmalıdır.</w:t>
      </w:r>
    </w:p>
    <w:p>
      <w:r>
        <w:pict>
          <v:rect style="width:0;height:1.5pt" o:hralign="center" o:hrstd="t" o:hr="t"/>
        </w:pict>
      </w:r>
    </w:p>
    <w:bookmarkEnd w:id="35"/>
    <w:bookmarkEnd w:id="36"/>
    <w:bookmarkStart w:id="42" w:name="Xb72eaef74e80f5488e7124a0cb20d918b25a81b"/>
    <w:p>
      <w:pPr>
        <w:pStyle w:val="Heading2"/>
      </w:pPr>
      <w:r>
        <w:t xml:space="preserve">6. Branş Bazlı Eylem Planı (5 Madde)</w:t>
      </w:r>
    </w:p>
    <w:p>
      <w:pPr>
        <w:pStyle w:val="FirstParagraph"/>
      </w:pPr>
      <w:r>
        <w:t xml:space="preserve">Aşağıdaki maddeler klinik karar destek amacıyla önceliklendirilmiş</w:t>
      </w:r>
      <w:r>
        <w:t xml:space="preserve"> </w:t>
      </w:r>
      <w:r>
        <w:rPr>
          <w:b/>
          <w:bCs/>
        </w:rPr>
        <w:t xml:space="preserve">görüşme gündemidir</w:t>
      </w:r>
      <w:r>
        <w:t xml:space="preserve">; doz ve tedavi kararları yalnızca takip eden hekim tarafından verilir.</w:t>
      </w:r>
    </w:p>
    <w:bookmarkStart w:id="37" w:name="Xaf0fdadcdd56f0c4fc7cb7e78dc616f1796a8bc"/>
    <w:p>
      <w:pPr>
        <w:pStyle w:val="Heading3"/>
      </w:pPr>
      <w:r>
        <w:t xml:space="preserve">Madde 1 — Kardiyoloji / Antikoagülasyon Polikliniği (ACİL, 24–72 saat)</w:t>
      </w:r>
    </w:p>
    <w:p>
      <w:pPr>
        <w:pStyle w:val="FirstParagraph"/>
      </w:pPr>
      <w:r>
        <w:t xml:space="preserve">INR 15 Eylül'de 1.95 ile 25 mm Carbomedics mekanik aort kapağı için tanımlı 2.0–3.0 koridorunun altındadır (Praz et al., 2025). Hekime sunulması gereken boylamsal kanıt:</w:t>
      </w:r>
      <w:r>
        <w:t xml:space="preserve"> </w:t>
      </w:r>
      <w:r>
        <w:rPr>
          <w:b/>
          <w:bCs/>
        </w:rPr>
        <w:t xml:space="preserve">11 Ağustos'ta 25 mg/hafta dozunda INR 2.59 ve 2.76 ile koridor ortasında seyrederken, 18 Ağustos'ta 20 mg/hafta'ya indirilmesini takiben INR 2.72 → 2.12 → 1.95 şeklinde monoton gerilemiştir.</w:t>
      </w:r>
      <w:r>
        <w:t xml:space="preserve"> </w:t>
      </w:r>
      <w:r>
        <w:t xml:space="preserve">Bu veri, doz indiriminin geri alınmasının değerlendirilmesi için nesnel gerekçe oluşturur; haftalık doz ayarı, kontrol INR zamanlaması ve köprüleme gereği kararı hekime aittir. Her yeni antibiyotik başlangıcında 3–5 gün içinde INR kontrolü protokole eklenmelidir.</w:t>
      </w:r>
    </w:p>
    <w:bookmarkEnd w:id="37"/>
    <w:bookmarkStart w:id="38" w:name="X44ce93afb120aa391c9b7433713539049767b3e"/>
    <w:p>
      <w:pPr>
        <w:pStyle w:val="Heading3"/>
      </w:pPr>
      <w:r>
        <w:t xml:space="preserve">Madde 2 — Hematoloji / Gastroenteroloji (2 hafta içinde)</w:t>
      </w:r>
    </w:p>
    <w:p>
      <w:pPr>
        <w:pStyle w:val="FirstParagraph"/>
      </w:pPr>
      <w:r>
        <w:t xml:space="preserve">TSAT %4.4, ferritin 19 µg/L ve MCV 76.7 fL ile mutlak demir eksikliği doğrulanmıştır. 64 yaşında erkek hastada demir eksikliği anemisi, aksi gösterilene dek gastrointestinal kayıp varsayılarak araştırılmalıdır (Snook et al., 2021; Goddard et al., 2011). Dual antitrombotik tedavi altında olması bu araştırmayı gereksiz kılmaz, aksine olasılığı yükseltir. Gaitada gizli kan taraması ve endoskopik değerlendirme endikasyonu tartışılmalıdır. Replasman yanıtı için 4–6 hafta sonra hemogram + ferritin + TSAT kontrolü planlanmalıdır.</w:t>
      </w:r>
    </w:p>
    <w:bookmarkEnd w:id="38"/>
    <w:bookmarkStart w:id="39" w:name="X78fb0bb823c04ea787643d8ec4f45f2984a02dc"/>
    <w:p>
      <w:pPr>
        <w:pStyle w:val="Heading3"/>
      </w:pPr>
      <w:r>
        <w:t xml:space="preserve">Madde 3 — Radyoloji / KVC (6. ay kontrolü — gecikmiştir)</w:t>
      </w:r>
    </w:p>
    <w:p>
      <w:pPr>
        <w:pStyle w:val="FirstParagraph"/>
      </w:pPr>
      <w:r>
        <w:t xml:space="preserve">Son torakoabdominal BT anjiyografi 05.05.2026 tarihlidir; üzerinden 4.4 ay geçmiştir. Rezidüel Tip B flebi inen aortadan (39 mm) iliak bifurkasyona (abdominal 38 mm) uzanmakta olup aort kökü ve arkus 46 mm'dir. Kronik aort diseksiyonunda seri görüntüleme ile çap progresyonunun izlenmesi standart takip protokolüdür (Czerny et al., 2024; Fleischmann et al., 2022; Isselbacher et al., 2022). Kontrastlı BT anjiyografi planlanmalı, kontrast öncesi renal fonksiyon (eGFR 70.89) değerlendirilmelidir.</w:t>
      </w:r>
    </w:p>
    <w:bookmarkEnd w:id="39"/>
    <w:bookmarkStart w:id="40" w:name="X0aef16ffb27ca48c7fc2093d719afe04299e594"/>
    <w:p>
      <w:pPr>
        <w:pStyle w:val="Heading3"/>
      </w:pPr>
      <w:r>
        <w:t xml:space="preserve">Madde 4 — Nefroloji / Dahiliye (rutin kontrolde)</w:t>
      </w:r>
    </w:p>
    <w:p>
      <w:pPr>
        <w:pStyle w:val="FirstParagraph"/>
      </w:pPr>
      <w:r>
        <w:t xml:space="preserve">eGFR 54 günde 94.0 → 70.89 mL/dk/1.73 m² gerilemiş, aynı panelde potasyum 5.05 mmol/L ile serinin zirvesine ulaşmıştır. Hasta ACE inhibitörü altındadır ve 8 Eylül'de IV kontrast maddeye maruz kalmamış olsa da yakın dönemde kontrastlı tetkik planlanmaktadır. Renal fonksiyon ve potasyumun 2–4 hafta içinde tekrarı, Coversyl doz uygunluğunun gözden geçirilmesi önerilir (KDIGO, 2024).</w:t>
      </w:r>
    </w:p>
    <w:bookmarkEnd w:id="40"/>
    <w:bookmarkStart w:id="41" w:name="X2f9d55ce56cc3583a2a79a8ae71cf02ae4623ca"/>
    <w:p>
      <w:pPr>
        <w:pStyle w:val="Heading3"/>
      </w:pPr>
      <w:r>
        <w:t xml:space="preserve">Madde 5 — KVC / Yara Bakımı ve Genel İzlem</w:t>
      </w:r>
    </w:p>
    <w:p>
      <w:pPr>
        <w:pStyle w:val="FirstParagraph"/>
      </w:pPr>
      <w:r>
        <w:t xml:space="preserve">CRP 154 mg/L zirvesinden 5.7 mg/L'ye gerilemiş ve referans sınıra inmiştir; 11 Eylül'de tamamlanan Klamoks küruna yanıt tamdır (Horan et al., 2008). Ancak 17 Temmuz BT'sinde raporlanan sternal defekt ve 23 Temmuz dehissens öyküsü göz önüne alındığında, sternal stabilite klinik muayene ile takip edilmelidir (Kaul, 2017). Lipid profili 8 Eylül'de LDL 141 mg/dL ile hedef üstündedir; aort cerrahisi geçirmiş yüksek riskli hastada lipid yönetimi gündeme alınmalıdır (Mach et al., 2020). TSH 0.279 mIU/L ile alt referans sınırındadır ve tekrarı önerilir.</w:t>
      </w:r>
    </w:p>
    <w:p>
      <w:r>
        <w:pict>
          <v:rect style="width:0;height:1.5pt" o:hralign="center" o:hrstd="t" o:hr="t"/>
        </w:pict>
      </w:r>
    </w:p>
    <w:bookmarkEnd w:id="41"/>
    <w:bookmarkEnd w:id="42"/>
    <w:bookmarkStart w:id="43" w:name="X10c72882545f48d1aebf25117bfbd2727ee339d"/>
    <w:p>
      <w:pPr>
        <w:pStyle w:val="Heading2"/>
      </w:pPr>
      <w:r>
        <w:t xml:space="preserve">7. Veri Bütünlüğü ve Doğrulama Notları</w:t>
      </w:r>
    </w:p>
    <w:p>
      <w:pPr>
        <w:pStyle w:val="FirstParagraph"/>
      </w:pPr>
      <w:r>
        <w:t xml:space="preserve">Bu kanonik sürüm hazırlanırken önceki raporlarda yer alan bazı sayısal ifadeler ham veri tabanına karşı yeniden doğrulanmıştır: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İfade (önceki sürümler)</w:t>
            </w:r>
          </w:p>
        </w:tc>
        <w:tc>
          <w:tcPr/>
          <w:p>
            <w:pPr>
              <w:pStyle w:val="Compact"/>
            </w:pPr>
            <w:r>
              <w:t xml:space="preserve">Kanonik doğrulanmış değer</w:t>
            </w:r>
          </w:p>
        </w:tc>
        <w:tc>
          <w:tcPr/>
          <w:p>
            <w:pPr>
              <w:pStyle w:val="Compact"/>
            </w:pPr>
            <w:r>
              <w:t xml:space="preserve">Kaynak</w:t>
            </w:r>
          </w:p>
        </w:tc>
      </w:tr>
      <w:tr>
        <w:tc>
          <w:tcPr/>
          <w:p>
            <w:pPr>
              <w:pStyle w:val="Compact"/>
            </w:pPr>
            <w:r>
              <w:t xml:space="preserve">Rosendaal TTR %54.6</w:t>
            </w:r>
          </w:p>
        </w:tc>
        <w:tc>
          <w:tcPr/>
          <w:p>
            <w:pPr>
              <w:pStyle w:val="Compact"/>
            </w:pPr>
            <w:r>
              <w:rPr>
                <w:b/>
                <w:bCs/>
              </w:rPr>
              <w:t xml:space="preserve">%53.7</w:t>
            </w:r>
            <w:r>
              <w:t xml:space="preserve"> </w:t>
            </w:r>
            <w:r>
              <w:t xml:space="preserve">(40 ölçüm, 207.9 gün)</w:t>
            </w:r>
          </w:p>
        </w:tc>
        <w:tc>
          <w:tcPr/>
          <w:p>
            <w:pPr>
              <w:pStyle w:val="Compact"/>
            </w:pPr>
            <w:r>
              <w:t xml:space="preserve">Hesaplanmış</w:t>
            </w:r>
          </w:p>
        </w:tc>
      </w:tr>
      <w:tr>
        <w:tc>
          <w:tcPr/>
          <w:p>
            <w:pPr>
              <w:pStyle w:val="Compact"/>
            </w:pPr>
            <w:r>
              <w:t xml:space="preserve">"178 kilo kaydı"</w:t>
            </w:r>
          </w:p>
        </w:tc>
        <w:tc>
          <w:tcPr/>
          <w:p>
            <w:pPr>
              <w:pStyle w:val="Compact"/>
            </w:pPr>
            <w:r>
              <w:rPr>
                <w:b/>
                <w:bCs/>
              </w:rPr>
              <w:t xml:space="preserve">180 kilo kaydı</w:t>
            </w:r>
          </w:p>
        </w:tc>
        <w:tc>
          <w:tcPr/>
          <w:p>
            <w:pPr>
              <w:pStyle w:val="Compact"/>
            </w:pPr>
            <w:r>
              <w:rPr>
                <w:rStyle w:val="VerbatimChar"/>
              </w:rPr>
              <w:t xml:space="preserve">weights[]</w:t>
            </w:r>
          </w:p>
        </w:tc>
      </w:tr>
      <w:tr>
        <w:tc>
          <w:tcPr/>
          <w:p>
            <w:pPr>
              <w:pStyle w:val="Compact"/>
            </w:pPr>
            <w:r>
              <w:t xml:space="preserve">"1.164 ilaç alım kaydı"</w:t>
            </w:r>
          </w:p>
        </w:tc>
        <w:tc>
          <w:tcPr/>
          <w:p>
            <w:pPr>
              <w:pStyle w:val="Compact"/>
            </w:pPr>
            <w:r>
              <w:rPr>
                <w:b/>
                <w:bCs/>
              </w:rPr>
              <w:t xml:space="preserve">1.213 ilaç alım kaydı</w:t>
            </w:r>
          </w:p>
        </w:tc>
        <w:tc>
          <w:tcPr/>
          <w:p>
            <w:pPr>
              <w:pStyle w:val="Compact"/>
            </w:pPr>
            <w:r>
              <w:rPr>
                <w:rStyle w:val="VerbatimChar"/>
              </w:rPr>
              <w:t xml:space="preserve">medication_logs[]</w:t>
            </w:r>
          </w:p>
        </w:tc>
      </w:tr>
      <w:tr>
        <w:tc>
          <w:tcPr/>
          <w:p>
            <w:pPr>
              <w:pStyle w:val="Compact"/>
            </w:pPr>
            <w:r>
              <w:t xml:space="preserve">"2.100+ laboratuvar ölçümü"</w:t>
            </w:r>
          </w:p>
        </w:tc>
        <w:tc>
          <w:tcPr/>
          <w:p>
            <w:pPr>
              <w:pStyle w:val="Compact"/>
            </w:pPr>
            <w:r>
              <w:rPr>
                <w:b/>
                <w:bCs/>
              </w:rPr>
              <w:t xml:space="preserve">2.071 laboratuvar sonucu</w:t>
            </w:r>
          </w:p>
        </w:tc>
        <w:tc>
          <w:tcPr/>
          <w:p>
            <w:pPr>
              <w:pStyle w:val="Compact"/>
            </w:pPr>
            <w:r>
              <w:rPr>
                <w:rStyle w:val="VerbatimChar"/>
              </w:rPr>
              <w:t xml:space="preserve">lab_test_results[]</w:t>
            </w:r>
          </w:p>
        </w:tc>
      </w:tr>
      <w:tr>
        <w:tc>
          <w:tcPr/>
          <w:p>
            <w:pPr>
              <w:pStyle w:val="Compact"/>
            </w:pPr>
            <w:r>
              <w:t xml:space="preserve">"108 longitudinal parametre"</w:t>
            </w:r>
          </w:p>
        </w:tc>
        <w:tc>
          <w:tcPr/>
          <w:p>
            <w:pPr>
              <w:pStyle w:val="Compact"/>
            </w:pPr>
            <w:r>
              <w:rPr>
                <w:b/>
                <w:bCs/>
              </w:rPr>
              <w:t xml:space="preserve">Doğrulandı</w:t>
            </w:r>
            <w:r>
              <w:t xml:space="preserve"> </w:t>
            </w:r>
            <w:r>
              <w:t xml:space="preserve">— 108 distinkt sayısal parametre</w:t>
            </w:r>
          </w:p>
        </w:tc>
        <w:tc>
          <w:tcPr/>
          <w:p>
            <w:pPr>
              <w:pStyle w:val="Compact"/>
            </w:pPr>
            <w:r>
              <w:t xml:space="preserve">Hesaplanmış</w:t>
            </w:r>
          </w:p>
        </w:tc>
      </w:tr>
      <w:tr>
        <w:tc>
          <w:tcPr/>
          <w:p>
            <w:pPr>
              <w:pStyle w:val="Compact"/>
            </w:pPr>
            <w:r>
              <w:t xml:space="preserve">"Hipertansif kriz" (Nisan)</w:t>
            </w:r>
          </w:p>
        </w:tc>
        <w:tc>
          <w:tcPr/>
          <w:p>
            <w:pPr>
              <w:pStyle w:val="Compact"/>
            </w:pPr>
            <w:r>
              <w:t xml:space="preserve">Maksimum 168/103 mmHg; ≥180/110 ölçüm yok</w:t>
            </w:r>
          </w:p>
        </w:tc>
        <w:tc>
          <w:tcPr/>
          <w:p>
            <w:pPr>
              <w:pStyle w:val="Compact"/>
            </w:pPr>
            <w:r>
              <w:rPr>
                <w:rStyle w:val="VerbatimChar"/>
              </w:rPr>
              <w:t xml:space="preserve">blood_pressures[]</w:t>
            </w:r>
          </w:p>
        </w:tc>
      </w:tr>
      <w:tr>
        <w:tc>
          <w:tcPr/>
          <w:p>
            <w:pPr>
              <w:pStyle w:val="Compact"/>
            </w:pPr>
            <w:r>
              <w:t xml:space="preserve">7 günlük TA 113/75</w:t>
            </w:r>
          </w:p>
        </w:tc>
        <w:tc>
          <w:tcPr/>
          <w:p>
            <w:pPr>
              <w:pStyle w:val="Compact"/>
            </w:pPr>
            <w:r>
              <w:rPr>
                <w:b/>
                <w:bCs/>
              </w:rPr>
              <w:t xml:space="preserve">113.3/75.9</w:t>
            </w:r>
            <w:r>
              <w:t xml:space="preserve"> </w:t>
            </w:r>
            <w:r>
              <w:t xml:space="preserve">(yuvarlama: 113/76)</w:t>
            </w:r>
          </w:p>
        </w:tc>
        <w:tc>
          <w:tcPr/>
          <w:p>
            <w:pPr>
              <w:pStyle w:val="Compact"/>
            </w:pPr>
            <w:r>
              <w:t xml:space="preserve">14 ölçüm</w:t>
            </w:r>
          </w:p>
        </w:tc>
      </w:tr>
    </w:tbl>
    <w:p>
      <w:pPr>
        <w:pStyle w:val="BodyText"/>
      </w:pPr>
      <w:r>
        <w:rPr>
          <w:b/>
          <w:bCs/>
        </w:rPr>
        <w:t xml:space="preserve">Veri boşlukları.</w:t>
      </w:r>
      <w:r>
        <w:t xml:space="preserve"> </w:t>
      </w:r>
      <w:r>
        <w:t xml:space="preserve">Demir paneli (ferritin, demir, UIBC), B12, folat, HbA1c, lipid ve tiroid parametreleri tüm seyirde yalnızca birer kez çalışılmıştır; bu parametreler için boylamsal trend analizi yapılamamaktadır. Kan gazı paneli 31 Mart'tan sonra tekrarlanmamıştır (yoğun bakım dönemine özgüdür). Ekokardiyografi verisi dışa aktarımda bulunmamaktadır — mekanik protez kapak fonksiyonunun (gradyan, EOA, paravalvüler kaçak) değerlendirilmesi için transtorasik ekokardiyografi sonucu bu veri tabanına eklenmelidir.</w:t>
      </w:r>
    </w:p>
    <w:bookmarkEnd w:id="43"/>
    <w:bookmarkStart w:id="58" w:name="Xf7e38bae7d70f352d54829733e967cbd376aff2"/>
    <w:p>
      <w:pPr>
        <w:pStyle w:val="Heading2"/>
      </w:pPr>
      <w:r>
        <w:t xml:space="preserve">8. Kaynakça (APA 7th Edition)</w:t>
      </w:r>
    </w:p>
    <w:p>
      <w:pPr>
        <w:pStyle w:val="FirstParagraph"/>
      </w:pPr>
      <w:r>
        <w:t xml:space="preserve">Camaschella, C. (2015). Iron-deficiency anemia.</w:t>
      </w:r>
      <w:r>
        <w:t xml:space="preserve"> </w:t>
      </w:r>
      <w:r>
        <w:rPr>
          <w:i/>
          <w:iCs/>
        </w:rPr>
        <w:t xml:space="preserve">New England Journal of Medicine, 372</w:t>
      </w:r>
      <w:r>
        <w:t xml:space="preserve">(19), 1832–1843.</w:t>
      </w:r>
      <w:r>
        <w:t xml:space="preserve"> </w:t>
      </w:r>
      <w:hyperlink r:id="rId44">
        <w:r>
          <w:rPr>
            <w:rStyle w:val="Hyperlink"/>
          </w:rPr>
          <w:t xml:space="preserve">https://doi.org/10.1056/NEJMra1401038</w:t>
        </w:r>
      </w:hyperlink>
    </w:p>
    <w:p>
      <w:pPr>
        <w:pStyle w:val="BodyText"/>
      </w:pPr>
      <w:r>
        <w:t xml:space="preserve">Czerny, M., Grabenwöger, M., Berger, T., Aboyans, V., Della Corte, A., Chen, E. P., Desai, N. D., Dumfarth, J., Elefteriades, J. A., Etz, C. D., Kim, K. M., Kreibich, M., Lescan, M., Di Marco, L., Martens, A., Mestres, C. A., Milojevic, M., Nienaber, C. A., Piffaretti, G., … Schoenhoff, F. S. (2024). EACTS/STS guidelines for diagnosing and treating acute and chronic syndromes of the aortic organ.</w:t>
      </w:r>
      <w:r>
        <w:t xml:space="preserve"> </w:t>
      </w:r>
      <w:r>
        <w:rPr>
          <w:i/>
          <w:iCs/>
        </w:rPr>
        <w:t xml:space="preserve">European Journal of Cardio-Thoracic Surgery, 65</w:t>
      </w:r>
      <w:r>
        <w:t xml:space="preserve">(2), ezad426.</w:t>
      </w:r>
      <w:r>
        <w:t xml:space="preserve"> </w:t>
      </w:r>
      <w:hyperlink r:id="rId45">
        <w:r>
          <w:rPr>
            <w:rStyle w:val="Hyperlink"/>
          </w:rPr>
          <w:t xml:space="preserve">https://doi.org/10.1093/ejcts/ezad426</w:t>
        </w:r>
      </w:hyperlink>
    </w:p>
    <w:p>
      <w:pPr>
        <w:pStyle w:val="BodyText"/>
      </w:pPr>
      <w:r>
        <w:t xml:space="preserve">Fleischmann, D., Afifi, R. O., Casanegra, A. I., Elefteriades, J. A., Gleason, T. G., Hanneman, K., Roselli, E. E., Willemink, M. J., &amp; Fischbein, M. P. (2022). Imaging and surveillance of chronic aortic dissection: A scientific statement from the American Heart Association.</w:t>
      </w:r>
      <w:r>
        <w:t xml:space="preserve"> </w:t>
      </w:r>
      <w:r>
        <w:rPr>
          <w:i/>
          <w:iCs/>
        </w:rPr>
        <w:t xml:space="preserve">Circulation: Cardiovascular Imaging, 15</w:t>
      </w:r>
      <w:r>
        <w:t xml:space="preserve">(3), e000075.</w:t>
      </w:r>
      <w:r>
        <w:t xml:space="preserve"> </w:t>
      </w:r>
      <w:hyperlink r:id="rId46">
        <w:r>
          <w:rPr>
            <w:rStyle w:val="Hyperlink"/>
          </w:rPr>
          <w:t xml:space="preserve">https://doi.org/10.1161/HCI.0000000000000075</w:t>
        </w:r>
      </w:hyperlink>
    </w:p>
    <w:p>
      <w:pPr>
        <w:pStyle w:val="BodyText"/>
      </w:pPr>
      <w:r>
        <w:t xml:space="preserve">Goddard, A. F., James, M. W., McIntyre, A. S., &amp; Scott, B. B. (2011). Guidelines for the management of iron deficiency anaemia.</w:t>
      </w:r>
      <w:r>
        <w:t xml:space="preserve"> </w:t>
      </w:r>
      <w:r>
        <w:rPr>
          <w:i/>
          <w:iCs/>
        </w:rPr>
        <w:t xml:space="preserve">Gut, 60</w:t>
      </w:r>
      <w:r>
        <w:t xml:space="preserve">(10), 1309–1316.</w:t>
      </w:r>
      <w:r>
        <w:t xml:space="preserve"> </w:t>
      </w:r>
      <w:hyperlink r:id="rId47">
        <w:r>
          <w:rPr>
            <w:rStyle w:val="Hyperlink"/>
          </w:rPr>
          <w:t xml:space="preserve">https://doi.org/10.1136/gut.2010.228874</w:t>
        </w:r>
      </w:hyperlink>
    </w:p>
    <w:p>
      <w:pPr>
        <w:pStyle w:val="BodyText"/>
      </w:pPr>
      <w:r>
        <w:t xml:space="preserve">Holbrook, A., Schulman, S., Witt, D. M., Vandvik, P. O., Fish, J., Kovacs, M. J., Svensson, P. J., Veenstra, D. L., Crowther, M., &amp; Guyatt, G. H. (2012). Evidence-based management of anticoagulant therapy: Antithrombotic therapy and prevention of thrombosis, 9th ed.: American College of Chest Physicians evidence-based clinical practice guidelines.</w:t>
      </w:r>
      <w:r>
        <w:t xml:space="preserve"> </w:t>
      </w:r>
      <w:r>
        <w:rPr>
          <w:i/>
          <w:iCs/>
        </w:rPr>
        <w:t xml:space="preserve">Chest, 141</w:t>
      </w:r>
      <w:r>
        <w:t xml:space="preserve">(2 Suppl), e152S–e184S.</w:t>
      </w:r>
      <w:r>
        <w:t xml:space="preserve"> </w:t>
      </w:r>
      <w:hyperlink r:id="rId48">
        <w:r>
          <w:rPr>
            <w:rStyle w:val="Hyperlink"/>
          </w:rPr>
          <w:t xml:space="preserve">https://doi.org/10.1378/chest.11-2295</w:t>
        </w:r>
      </w:hyperlink>
    </w:p>
    <w:p>
      <w:pPr>
        <w:pStyle w:val="BodyText"/>
      </w:pPr>
      <w:r>
        <w:t xml:space="preserve">Horan, T. C., Andrus, M., &amp; Dudeck, M. A. (2008). CDC/NHSN surveillance definition of health care-associated infection and criteria for specific types of infections in the acute care setting.</w:t>
      </w:r>
      <w:r>
        <w:t xml:space="preserve"> </w:t>
      </w:r>
      <w:r>
        <w:rPr>
          <w:i/>
          <w:iCs/>
        </w:rPr>
        <w:t xml:space="preserve">American Journal of Infection Control, 36</w:t>
      </w:r>
      <w:r>
        <w:t xml:space="preserve">(5), 309–332.</w:t>
      </w:r>
      <w:r>
        <w:t xml:space="preserve"> </w:t>
      </w:r>
      <w:hyperlink r:id="rId49">
        <w:r>
          <w:rPr>
            <w:rStyle w:val="Hyperlink"/>
          </w:rPr>
          <w:t xml:space="preserve">https://doi.org/10.1016/j.ajic.2008.03.002</w:t>
        </w:r>
      </w:hyperlink>
    </w:p>
    <w:p>
      <w:pPr>
        <w:pStyle w:val="BodyText"/>
      </w:pPr>
      <w:r>
        <w:t xml:space="preserve">Isselbacher, E. M., Preventza, O., Hamilton Black, J., Augoustides, J. G., Beck, A. W., Bolen, M. A., Braverman, A. C., Bray, B. E., Brown-Zimmerman, M. M., Chen, E. P., Collins, T. J., DeAnda, A., Fanola, C. L., Girardi, L. N., Hicks, C. W., Hui, D. S., Schuyler Jones, W., Kalahasti, V., Kim, K. M., … Woo, Y. J. (2022). 2022 ACC/AHA guideline for the diagnosis and management of aortic disease.</w:t>
      </w:r>
      <w:r>
        <w:t xml:space="preserve"> </w:t>
      </w:r>
      <w:r>
        <w:rPr>
          <w:i/>
          <w:iCs/>
        </w:rPr>
        <w:t xml:space="preserve">Circulation, 146</w:t>
      </w:r>
      <w:r>
        <w:t xml:space="preserve">(24), e334–e482.</w:t>
      </w:r>
      <w:r>
        <w:t xml:space="preserve"> </w:t>
      </w:r>
      <w:hyperlink r:id="rId50">
        <w:r>
          <w:rPr>
            <w:rStyle w:val="Hyperlink"/>
          </w:rPr>
          <w:t xml:space="preserve">https://doi.org/10.1161/CIR.0000000000001106</w:t>
        </w:r>
      </w:hyperlink>
    </w:p>
    <w:p>
      <w:pPr>
        <w:pStyle w:val="BodyText"/>
      </w:pPr>
      <w:r>
        <w:t xml:space="preserve">Kaul, P. (2017). Sternal reconstruction after post-sternotomy mediastinitis.</w:t>
      </w:r>
      <w:r>
        <w:t xml:space="preserve"> </w:t>
      </w:r>
      <w:r>
        <w:rPr>
          <w:i/>
          <w:iCs/>
        </w:rPr>
        <w:t xml:space="preserve">Journal of Cardiothoracic Surgery, 12</w:t>
      </w:r>
      <w:r>
        <w:t xml:space="preserve">(1), 94.</w:t>
      </w:r>
      <w:r>
        <w:t xml:space="preserve"> </w:t>
      </w:r>
      <w:hyperlink r:id="rId51">
        <w:r>
          <w:rPr>
            <w:rStyle w:val="Hyperlink"/>
          </w:rPr>
          <w:t xml:space="preserve">https://doi.org/10.1186/s13019-017-0656-7</w:t>
        </w:r>
      </w:hyperlink>
    </w:p>
    <w:p>
      <w:pPr>
        <w:pStyle w:val="BodyText"/>
      </w:pPr>
      <w:r>
        <w:t xml:space="preserve">Kidney Disease: Improving Global Outcomes (KDIGO) CKD Work Group. (2024). KDIGO 2024 clinical practice guideline for the evaluation and management of chronic kidney disease.</w:t>
      </w:r>
      <w:r>
        <w:t xml:space="preserve"> </w:t>
      </w:r>
      <w:r>
        <w:rPr>
          <w:i/>
          <w:iCs/>
        </w:rPr>
        <w:t xml:space="preserve">Kidney International, 105</w:t>
      </w:r>
      <w:r>
        <w:t xml:space="preserve">(4S), S117–S314.</w:t>
      </w:r>
      <w:r>
        <w:t xml:space="preserve"> </w:t>
      </w:r>
      <w:hyperlink r:id="rId52">
        <w:r>
          <w:rPr>
            <w:rStyle w:val="Hyperlink"/>
          </w:rPr>
          <w:t xml:space="preserve">https://doi.org/10.1016/j.kint.2023.10.018</w:t>
        </w:r>
      </w:hyperlink>
    </w:p>
    <w:p>
      <w:pPr>
        <w:pStyle w:val="BodyText"/>
      </w:pPr>
      <w:r>
        <w:t xml:space="preserve">Mach, F., Baigent, C., Catapano, A. L., Koskinas, K. C., Casula, M., Badimon, L., Chapman, M. J., De Backer, G. G., Delgado, V., Ference, B. A., Graham, I. M., Halliday, A., Landmesser, U., Mihaylova, B., Pedersen, T. R., Riccardi, G., Richter, D. J., Sabatine, M. S., Taskinen, M.-R., … Wiklund, O. (2020). 2019 ESC/EAS guidelines for the management of dyslipidaemias: Lipid modification to reduce cardiovascular risk.</w:t>
      </w:r>
      <w:r>
        <w:t xml:space="preserve"> </w:t>
      </w:r>
      <w:r>
        <w:rPr>
          <w:i/>
          <w:iCs/>
        </w:rPr>
        <w:t xml:space="preserve">European Heart Journal, 41</w:t>
      </w:r>
      <w:r>
        <w:t xml:space="preserve">(1), 111–188.</w:t>
      </w:r>
      <w:r>
        <w:t xml:space="preserve"> </w:t>
      </w:r>
      <w:hyperlink r:id="rId53">
        <w:r>
          <w:rPr>
            <w:rStyle w:val="Hyperlink"/>
          </w:rPr>
          <w:t xml:space="preserve">https://doi.org/10.1093/eurheartj/ehz455</w:t>
        </w:r>
      </w:hyperlink>
    </w:p>
    <w:p>
      <w:pPr>
        <w:pStyle w:val="BodyText"/>
      </w:pPr>
      <w:r>
        <w:t xml:space="preserve">McEvoy, J. W., McCarthy, C. P., Bruno, R. M., Brouwers, S., Canavan, M. D., Ceconi, C., Christodorescu, R. M., Daskalopoulou, S. S., Ferro, C. J., Gerdts, E., Hanssen, H., Harris, J., Lauder, L., McManus, R. J., Molloy, G. J., Rahimi, K., Regitz-Zagrosek, V., Rossi, G. P., Sandset, E. C., … Zanchetti, A. (2024). 2024 ESC guidelines for the management of elevated blood pressure and hypertension.</w:t>
      </w:r>
      <w:r>
        <w:t xml:space="preserve"> </w:t>
      </w:r>
      <w:r>
        <w:rPr>
          <w:i/>
          <w:iCs/>
        </w:rPr>
        <w:t xml:space="preserve">European Heart Journal, 45</w:t>
      </w:r>
      <w:r>
        <w:t xml:space="preserve">(38), 3912–4018.</w:t>
      </w:r>
      <w:r>
        <w:t xml:space="preserve"> </w:t>
      </w:r>
      <w:hyperlink r:id="rId54">
        <w:r>
          <w:rPr>
            <w:rStyle w:val="Hyperlink"/>
          </w:rPr>
          <w:t xml:space="preserve">https://doi.org/10.1093/eurheartj/ehae178</w:t>
        </w:r>
      </w:hyperlink>
    </w:p>
    <w:p>
      <w:pPr>
        <w:pStyle w:val="BodyText"/>
      </w:pPr>
      <w:r>
        <w:t xml:space="preserve">Praz, F., Borger, M. A., Lanz, J., Marin-Cuartas, M., Abreu, A., Adamo, M., Ajmone Marsan, N., Barili, F., Bonaros, N., Cosyns, B., De Paulis, R., Gamra, H., Jahangiri, M., Jeppsson, A., Klautz, R. J. M., Mores, B., Pérez-David, E., Pöss, J., Prendergast, B. D., … Wojakowski, W. (2025). 2025 ESC/EACTS guidelines for the management of valvular heart disease.</w:t>
      </w:r>
      <w:r>
        <w:t xml:space="preserve"> </w:t>
      </w:r>
      <w:r>
        <w:rPr>
          <w:i/>
          <w:iCs/>
        </w:rPr>
        <w:t xml:space="preserve">European Heart Journal, 46</w:t>
      </w:r>
      <w:r>
        <w:t xml:space="preserve">(44), 4635–4736.</w:t>
      </w:r>
      <w:r>
        <w:t xml:space="preserve"> </w:t>
      </w:r>
      <w:hyperlink r:id="rId55">
        <w:r>
          <w:rPr>
            <w:rStyle w:val="Hyperlink"/>
          </w:rPr>
          <w:t xml:space="preserve">https://doi.org/10.1093/eurheartj/ehaf194</w:t>
        </w:r>
      </w:hyperlink>
    </w:p>
    <w:p>
      <w:pPr>
        <w:pStyle w:val="BodyText"/>
      </w:pPr>
      <w:r>
        <w:t xml:space="preserve">Rosendaal, F. R., Cannegieter, S. C., van der Meer, F. J. M., &amp; Briët, E. (1993). A method to determine the optimal intensity of oral anticoagulant therapy.</w:t>
      </w:r>
      <w:r>
        <w:t xml:space="preserve"> </w:t>
      </w:r>
      <w:r>
        <w:rPr>
          <w:i/>
          <w:iCs/>
        </w:rPr>
        <w:t xml:space="preserve">Thrombosis and Haemostasis, 69</w:t>
      </w:r>
      <w:r>
        <w:t xml:space="preserve">(3), 236–239.</w:t>
      </w:r>
      <w:r>
        <w:t xml:space="preserve"> </w:t>
      </w:r>
      <w:hyperlink r:id="rId56">
        <w:r>
          <w:rPr>
            <w:rStyle w:val="Hyperlink"/>
          </w:rPr>
          <w:t xml:space="preserve">https://doi.org/10.1055/s-0038-1651587</w:t>
        </w:r>
      </w:hyperlink>
    </w:p>
    <w:p>
      <w:pPr>
        <w:pStyle w:val="BodyText"/>
      </w:pPr>
      <w:r>
        <w:t xml:space="preserve">Snook, J., Bhala, N., Beales, I. L. P., Cannings, D., Kightley, C., Logan, R. P., Pritchard, D. M., Sidhu, R., Surgenor, S., Thomas, W., Verma, A. M., &amp; Goddard, A. F. (2021). British Society of Gastroenterology guidelines for the management of iron deficiency anaemia in adults.</w:t>
      </w:r>
      <w:r>
        <w:t xml:space="preserve"> </w:t>
      </w:r>
      <w:r>
        <w:rPr>
          <w:i/>
          <w:iCs/>
        </w:rPr>
        <w:t xml:space="preserve">Gut, 70</w:t>
      </w:r>
      <w:r>
        <w:t xml:space="preserve">(11), 2030–2051.</w:t>
      </w:r>
      <w:r>
        <w:t xml:space="preserve"> </w:t>
      </w:r>
      <w:hyperlink r:id="rId57">
        <w:r>
          <w:rPr>
            <w:rStyle w:val="Hyperlink"/>
          </w:rPr>
          <w:t xml:space="preserve">https://doi.org/10.1136/gutjnl-2021-325210</w:t>
        </w:r>
      </w:hyperlink>
    </w:p>
    <w:p>
      <w:r>
        <w:pict>
          <v:rect style="width:0;height:1.5pt" o:hralign="center" o:hrstd="t" o:hr="t"/>
        </w:pict>
      </w:r>
    </w:p>
    <w:bookmarkEnd w:id="58"/>
    <w:bookmarkStart w:id="60" w:name="X74a746c9143ed2035db5a93495cc70404442a97"/>
    <w:p>
      <w:pPr>
        <w:pStyle w:val="Heading2"/>
      </w:pPr>
      <w:r>
        <w:t xml:space="preserve">9. Sorumluluk Reddi</w:t>
      </w:r>
    </w:p>
    <w:p>
      <w:pPr>
        <w:pStyle w:val="FirstParagraph"/>
      </w:pPr>
      <w:r>
        <w:t xml:space="preserve">Bu rapor,</w:t>
      </w:r>
      <w:r>
        <w:t xml:space="preserve"> </w:t>
      </w:r>
      <w:r>
        <w:rPr>
          <w:rStyle w:val="VerbatimChar"/>
        </w:rPr>
        <w:t xml:space="preserve">medilog</w:t>
      </w:r>
      <w:r>
        <w:t xml:space="preserve"> </w:t>
      </w:r>
      <w:r>
        <w:t xml:space="preserve">klinik takip bilgi sisteminde biriken hasta verilerinin boylamsal istatistiksel analizidir. Uluslararası kardiyoloji ve dahiliye kılavuzları referans alınarak</w:t>
      </w:r>
      <w:r>
        <w:t xml:space="preserve"> </w:t>
      </w:r>
      <w:r>
        <w:rPr>
          <w:b/>
          <w:bCs/>
        </w:rPr>
        <w:t xml:space="preserve">klinik karar destek ve hekimle görüşme gündemi oluşturma</w:t>
      </w:r>
      <w:r>
        <w:t xml:space="preserve"> </w:t>
      </w:r>
      <w:r>
        <w:t xml:space="preserve">amacıyla hazırlanmıştır.</w:t>
      </w:r>
    </w:p>
    <w:p>
      <w:pPr>
        <w:pStyle w:val="BodyText"/>
      </w:pPr>
      <w:r>
        <w:t xml:space="preserve">Bu belge tıbbi tanı, reçete veya tedavi talimatı niteliği taşımaz. Hiçbir ilaç dozu bu rapora dayanarak değiştirilmemelidir. Özellikle</w:t>
      </w:r>
      <w:r>
        <w:t xml:space="preserve"> </w:t>
      </w:r>
      <w:r>
        <w:rPr>
          <w:b/>
          <w:bCs/>
        </w:rPr>
        <w:t xml:space="preserve">varfarin doz ayarı yalnızca takip eden hekim veya antikoagülasyon polikliniği tarafından, INR kontrolü eşliğinde yapılabilir.</w:t>
      </w:r>
      <w:r>
        <w:t xml:space="preserve"> </w:t>
      </w:r>
      <w:r>
        <w:t xml:space="preserve">Raporda yer alan öneriler, hekime sunulacak nesnel veri özetleri ve tartışılması önerilen başlıklardır; nihai klinik karar yetkili hekim heyetine aittir.</w:t>
      </w:r>
    </w:p>
    <w:p>
      <w:pPr>
        <w:pStyle w:val="BodyText"/>
      </w:pPr>
      <w:r>
        <w:t xml:space="preserve">Göğüs ağrısı, nefes darlığı, ani başlayan nörolojik bulgu, katran kıvamında siyah dışkı, kanama veya ani kilo/ödem artışı durumunda vakit kaybetmeden acil servise başvurulmalıdır.</w:t>
      </w:r>
    </w:p>
    <w:p>
      <w:r>
        <w:pict>
          <v:rect style="width:0;height:1.5pt" o:hralign="center" o:hrstd="t" o:hr="t"/>
        </w:pict>
      </w:r>
    </w:p>
    <w:p>
      <w:pPr>
        <w:pStyle w:val="FirstParagraph"/>
      </w:pPr>
      <w:r>
        <w:rPr>
          <w:i/>
          <w:iCs/>
        </w:rPr>
        <w:t xml:space="preserve">Rapor sonu — Kanonik Sürüm · 16 Eylül 2026 · Anthropic Claude 5</w:t>
      </w:r>
    </w:p>
    <w:p>
      <w:pPr>
        <w:pStyle w:val="BodyText"/>
      </w:pPr>
      <w:r>
        <w:t xml:space="preserve">Vahanian, A., Beyersdorf, F., Praz, F., Milojevic, M., Baldus, S., Bauersachs, J., Capodanno, D., Conradi, L., De Bonis, M., De Paulis, R., Delgado, V., Freemantle, N., Gilard, M., Haugaa, K. H., Jeppsson, A., Jüni, P., Pierard, L., Prendergast, B. D., Sádaba, J. R., … ESC/EACTS Scientific Document Group. (2022). 2021 ESC/EACTS Guidelines for the management of valvular heart disease.</w:t>
      </w:r>
      <w:r>
        <w:t xml:space="preserve"> </w:t>
      </w:r>
      <w:r>
        <w:rPr>
          <w:i/>
          <w:iCs/>
        </w:rPr>
        <w:t xml:space="preserve">European Heart Journal, 43</w:t>
      </w:r>
      <w:r>
        <w:t xml:space="preserve">(7), 561–632.</w:t>
      </w:r>
      <w:r>
        <w:t xml:space="preserve"> </w:t>
      </w:r>
      <w:hyperlink r:id="rId59">
        <w:r>
          <w:rPr>
            <w:rStyle w:val="Hyperlink"/>
          </w:rPr>
          <w:t xml:space="preserve">https://doi.org/10.1093/eurheartj/ehab395</w:t>
        </w:r>
      </w:hyperlink>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 Target="https://doi.org/10.1016/j.ajic.2008.03.002" TargetMode="External" /><Relationship Type="http://schemas.openxmlformats.org/officeDocument/2006/relationships/hyperlink" Id="rId52" Target="https://doi.org/10.1016/j.kint.2023.10.018" TargetMode="External" /><Relationship Type="http://schemas.openxmlformats.org/officeDocument/2006/relationships/hyperlink" Id="rId56" Target="https://doi.org/10.1055/s-0038-1651587" TargetMode="External" /><Relationship Type="http://schemas.openxmlformats.org/officeDocument/2006/relationships/hyperlink" Id="rId44" Target="https://doi.org/10.1056/NEJMra1401038" TargetMode="External" /><Relationship Type="http://schemas.openxmlformats.org/officeDocument/2006/relationships/hyperlink" Id="rId45" Target="https://doi.org/10.1093/ejcts/ezad426" TargetMode="External" /><Relationship Type="http://schemas.openxmlformats.org/officeDocument/2006/relationships/hyperlink" Id="rId59" Target="https://doi.org/10.1093/eurheartj/ehab395" TargetMode="External" /><Relationship Type="http://schemas.openxmlformats.org/officeDocument/2006/relationships/hyperlink" Id="rId54" Target="https://doi.org/10.1093/eurheartj/ehae178" TargetMode="External" /><Relationship Type="http://schemas.openxmlformats.org/officeDocument/2006/relationships/hyperlink" Id="rId55" Target="https://doi.org/10.1093/eurheartj/ehaf194" TargetMode="External" /><Relationship Type="http://schemas.openxmlformats.org/officeDocument/2006/relationships/hyperlink" Id="rId53" Target="https://doi.org/10.1093/eurheartj/ehz455" TargetMode="External" /><Relationship Type="http://schemas.openxmlformats.org/officeDocument/2006/relationships/hyperlink" Id="rId47" Target="https://doi.org/10.1136/gut.2010.228874" TargetMode="External" /><Relationship Type="http://schemas.openxmlformats.org/officeDocument/2006/relationships/hyperlink" Id="rId57" Target="https://doi.org/10.1136/gutjnl-2021-325210" TargetMode="External" /><Relationship Type="http://schemas.openxmlformats.org/officeDocument/2006/relationships/hyperlink" Id="rId50" Target="https://doi.org/10.1161/CIR.0000000000001106" TargetMode="External" /><Relationship Type="http://schemas.openxmlformats.org/officeDocument/2006/relationships/hyperlink" Id="rId46" Target="https://doi.org/10.1161/HCI.0000000000000075" TargetMode="External" /><Relationship Type="http://schemas.openxmlformats.org/officeDocument/2006/relationships/hyperlink" Id="rId51" Target="https://doi.org/10.1186/s13019-017-0656-7" TargetMode="External" /><Relationship Type="http://schemas.openxmlformats.org/officeDocument/2006/relationships/hyperlink" Id="rId48" Target="https://doi.org/10.1378/chest.11-2295"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16/j.ajic.2008.03.002" TargetMode="External" /><Relationship Type="http://schemas.openxmlformats.org/officeDocument/2006/relationships/hyperlink" Id="rId52" Target="https://doi.org/10.1016/j.kint.2023.10.018" TargetMode="External" /><Relationship Type="http://schemas.openxmlformats.org/officeDocument/2006/relationships/hyperlink" Id="rId56" Target="https://doi.org/10.1055/s-0038-1651587" TargetMode="External" /><Relationship Type="http://schemas.openxmlformats.org/officeDocument/2006/relationships/hyperlink" Id="rId44" Target="https://doi.org/10.1056/NEJMra1401038" TargetMode="External" /><Relationship Type="http://schemas.openxmlformats.org/officeDocument/2006/relationships/hyperlink" Id="rId45" Target="https://doi.org/10.1093/ejcts/ezad426" TargetMode="External" /><Relationship Type="http://schemas.openxmlformats.org/officeDocument/2006/relationships/hyperlink" Id="rId59" Target="https://doi.org/10.1093/eurheartj/ehab395" TargetMode="External" /><Relationship Type="http://schemas.openxmlformats.org/officeDocument/2006/relationships/hyperlink" Id="rId54" Target="https://doi.org/10.1093/eurheartj/ehae178" TargetMode="External" /><Relationship Type="http://schemas.openxmlformats.org/officeDocument/2006/relationships/hyperlink" Id="rId55" Target="https://doi.org/10.1093/eurheartj/ehaf194" TargetMode="External" /><Relationship Type="http://schemas.openxmlformats.org/officeDocument/2006/relationships/hyperlink" Id="rId53" Target="https://doi.org/10.1093/eurheartj/ehz455" TargetMode="External" /><Relationship Type="http://schemas.openxmlformats.org/officeDocument/2006/relationships/hyperlink" Id="rId47" Target="https://doi.org/10.1136/gut.2010.228874" TargetMode="External" /><Relationship Type="http://schemas.openxmlformats.org/officeDocument/2006/relationships/hyperlink" Id="rId57" Target="https://doi.org/10.1136/gutjnl-2021-325210" TargetMode="External" /><Relationship Type="http://schemas.openxmlformats.org/officeDocument/2006/relationships/hyperlink" Id="rId50" Target="https://doi.org/10.1161/CIR.0000000000001106" TargetMode="External" /><Relationship Type="http://schemas.openxmlformats.org/officeDocument/2006/relationships/hyperlink" Id="rId46" Target="https://doi.org/10.1161/HCI.0000000000000075" TargetMode="External" /><Relationship Type="http://schemas.openxmlformats.org/officeDocument/2006/relationships/hyperlink" Id="rId51" Target="https://doi.org/10.1186/s13019-017-0656-7" TargetMode="External" /><Relationship Type="http://schemas.openxmlformats.org/officeDocument/2006/relationships/hyperlink" Id="rId48" Target="https://doi.org/10.1378/chest.11-22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Anthropic Claude 5 Kanonik Boylamsal Klinik Konsültasyon Raporu — 16.09.2026</dc:title>
  <dc:creator/>
  <dc:language>tr-TR</dc:language>
  <cp:keywords/>
  <dcterms:created xsi:type="dcterms:W3CDTF">2026-09-16T10:48:14Z</dcterms:created>
  <dcterms:modified xsi:type="dcterms:W3CDTF">2026-09-16T10:48:14Z</dcterms:modified>
</cp:coreProperties>
</file>

<file path=docProps/custom.xml><?xml version="1.0" encoding="utf-8"?>
<Properties xmlns="http://schemas.openxmlformats.org/officeDocument/2006/custom-properties" xmlns:vt="http://schemas.openxmlformats.org/officeDocument/2006/docPropsVTypes"/>
</file>