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Google Gemini 3.8 Flash High 360° Klinik Karar Destek Raporu — 16.09.2026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44c9791ac082fc662b94ed9dfd0c6a887e3fd26"/>
    <w:p>
      <w:pPr>
        <w:pStyle w:val="Heading1"/>
      </w:pPr>
      <w:r>
        <w:t xml:space="preserve">360° KAPSAMLI KLİNİK YÖNETİCİ VE KARAR DESTEK RAPORU</w:t>
      </w:r>
    </w:p>
    <w:p>
      <w:pPr>
        <w:pStyle w:val="FirstParagraph"/>
      </w:pPr>
      <w:r>
        <w:rPr>
          <w:b/>
          <w:bCs/>
        </w:rPr>
        <w:t xml:space="preserve">T.C. SAĞLIK BAKANLIĞI VE ÖZEL SAĞLIK KURUMLARI BİLGİ SİSTEMLERİ VERİ ENTEGRASYONU</w:t>
      </w:r>
      <w:r>
        <w:br/>
      </w:r>
      <w:r>
        <w:rPr>
          <w:i/>
          <w:iCs/>
        </w:rPr>
        <w:t xml:space="preserve">Rapor Tarihi: 16 Eylül 2026 | Değerlendirme Evresi: Ameliyat Sonrası 208. Gün (6.9 Ay)</w:t>
      </w:r>
      <w:r>
        <w:br/>
      </w:r>
      <w:r>
        <w:rPr>
          <w:i/>
          <w:iCs/>
        </w:rPr>
        <w:t xml:space="preserve">Konsültasyon Modeli: Google Gemini 3.8 Flash High (Baş Patofizyoloji &amp; Klinik Karar Destek Ajanı)</w:t>
      </w:r>
      <w:r>
        <w:br/>
      </w:r>
      <w:r>
        <w:rPr>
          <w:i/>
          <w:iCs/>
        </w:rPr>
        <w:t xml:space="preserve">Hasta Adı: Alaattin SÖNMEZ | T.C. Kimlik No: 00000000000 | Yaş/Cinsiyet: 64E (01.01.1962) | Kan Grubu: 0 Rh (+)</w:t>
      </w:r>
      <w:r>
        <w:rPr>
          <w:i/>
          <w:iCs/>
        </w:rPr>
        <w:t xml:space="preserve"> </w:t>
      </w:r>
      <w:r>
        <w:rPr>
          <w:i/>
          <w:iCs/>
        </w:rPr>
        <w:t xml:space="preserve">Pozitif</w:t>
      </w:r>
    </w:p>
    <w:p>
      <w:r>
        <w:pict>
          <v:rect style="width:0;height:1.5pt" o:hralign="center" o:hrstd="t" o:hr="t"/>
        </w:pict>
      </w:r>
    </w:p>
    <w:bookmarkStart w:id="11" w:name="Xffbe0ab0308328a26e0df1bb47e8d1a1099c0db"/>
    <w:p>
      <w:pPr>
        <w:pStyle w:val="Heading2"/>
      </w:pPr>
      <w:r>
        <w:t xml:space="preserve">1. YÖNETİCİ ÖZETİ VE KLİNİK İNDEKSLER</w:t>
      </w:r>
    </w:p>
    <w:bookmarkStart w:id="9" w:name="Xa041a1cfb1719860e067f0c7aa940b30a8b60c7"/>
    <w:p>
      <w:pPr>
        <w:pStyle w:val="Heading3"/>
      </w:pPr>
      <w:r>
        <w:t xml:space="preserve">1.1. Biyometrik ve Klinik Künye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Primer Tanılar:</w:t>
      </w:r>
      <w:r>
        <w:t xml:space="preserve"> </w:t>
      </w:r>
      <w:r>
        <w:t xml:space="preserve">Akut Stanford Tip A Aort Diseksiyonu (DeBakey Tip I), 5.3 cm Asendan Aort Anevrizması, Ciddi Aort</w:t>
      </w:r>
      <w:r>
        <w:t xml:space="preserve"> </w:t>
      </w:r>
      <w:r>
        <w:t xml:space="preserve">Kapak Yetmezliği (Czerny et al., 2024; Hagan et al., 2000).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Cerrahi Operasyon:</w:t>
      </w:r>
      <w:r>
        <w:t xml:space="preserve"> </w:t>
      </w:r>
      <w:r>
        <w:t xml:space="preserve">Acil Bentall Prosedürü (20 Şubat 2026, Özel İskenderun Gelişim Hastanesi, GAA, Doç. Dr. Emre</w:t>
      </w:r>
      <w:r>
        <w:t xml:space="preserve"> </w:t>
      </w:r>
      <w:r>
        <w:t xml:space="preserve">Kubat). 32 mm dokuma polyester Dacron vasküler greft (Maquet Intergard Bovine), 25 mm çift yapraklı mekanik aort</w:t>
      </w:r>
      <w:r>
        <w:t xml:space="preserve"> </w:t>
      </w:r>
      <w:r>
        <w:t xml:space="preserve">protezi (CORCYM Carbomedics Standard Aortic, Seri: S1652402-A) implantasyonu ve koroner buton reimplantasyonu. Derin</w:t>
      </w:r>
      <w:r>
        <w:t xml:space="preserve"> </w:t>
      </w:r>
      <w:r>
        <w:t xml:space="preserve">hipotermik arrest, sağ brakiyal arter ve sağ common karotid arter (CCA) selektif antegrad serebral perfüzyon</w:t>
      </w:r>
      <w:r>
        <w:t xml:space="preserve"> </w:t>
      </w:r>
      <w:r>
        <w:t xml:space="preserve">kanülasyonu ve primer vasküler onarımı (Bentall &amp; De Bono, 1968; Lau et al.,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Kronik Rezidüel Vasküler Patoloji:</w:t>
      </w:r>
      <w:r>
        <w:t xml:space="preserve"> </w:t>
      </w:r>
      <w:r>
        <w:t xml:space="preserve">Aortik arkustan inen aortaya ve bilateral iliak bifurkasyona dek uzanan patent</w:t>
      </w:r>
      <w:r>
        <w:t xml:space="preserve"> </w:t>
      </w:r>
      <w:r>
        <w:t xml:space="preserve">rezidüel Stanford Tip B diseksiyon flebi (05 Mayıs 2026 BT: inen aorta 39 mm, suprarenal abdominal aorta 38 mm)</w:t>
      </w:r>
      <w:r>
        <w:t xml:space="preserve"> </w:t>
      </w:r>
      <w:r>
        <w:t xml:space="preserve">(Czerny et al., 2024; Fleischmann et al., 2022).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Sekonder Cerrahi / Komplikasyon:</w:t>
      </w:r>
      <w:r>
        <w:t xml:space="preserve"> </w:t>
      </w:r>
      <w:r>
        <w:t xml:space="preserve">Sternal yara dehissensi ve derin cerrahi alan enfeksiyonu revizyonu (23–28 Temmuz</w:t>
      </w:r>
      <w:r>
        <w:t xml:space="preserve"> </w:t>
      </w:r>
      <w:r>
        <w:t xml:space="preserve">2026; cerrahi debridman, rewiring çelik sütürasyon, kan transfüzyonu [HGB dip: 7.7 g/dL], parenteral Sulcid ve</w:t>
      </w:r>
      <w:r>
        <w:t xml:space="preserve"> </w:t>
      </w:r>
      <w:r>
        <w:t xml:space="preserve">taburculukta Cipro + Augmentin kürü) (Horan et al., 2008; Kaul, 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Gastrointestinal Tablo:</w:t>
      </w:r>
      <w:r>
        <w:t xml:space="preserve"> </w:t>
      </w:r>
      <w:r>
        <w:t xml:space="preserve">Şiddetli obstipasyon, bulantı ve kusma (30–31 Mart 2026 Genel Cerrahi yatışı, CRP: 101.4</w:t>
      </w:r>
      <w:r>
        <w:t xml:space="preserve"> </w:t>
      </w:r>
      <w:r>
        <w:t xml:space="preserve">mg/L, lavman deşarjı ile şifa) (Snook et al., 2021).</w:t>
      </w:r>
    </w:p>
    <w:p>
      <w:r>
        <w:pict>
          <v:rect style="width:0;height:1.5pt" o:hralign="center" o:hrstd="t" o:hr="t"/>
        </w:pict>
      </w:r>
    </w:p>
    <w:bookmarkEnd w:id="9"/>
    <w:bookmarkStart w:id="10" w:name="Xf22e7201a52d329e34cdc362d8d0f1fce9d7ae5"/>
    <w:p>
      <w:pPr>
        <w:pStyle w:val="Heading3"/>
      </w:pPr>
      <w:r>
        <w:t xml:space="preserve">1.2. Altı Temel Klinik KPI Göstergesi (15–16 Eylül 2026 Güncel)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Kan Basıncı (Son 7 Gün Ortalaması):</w:t>
      </w:r>
      <w:r>
        <w:t xml:space="preserve"> </w:t>
      </w:r>
      <w:r>
        <w:rPr>
          <w:b/>
          <w:bCs/>
        </w:rPr>
        <w:t xml:space="preserve">113 / 75 mmHg</w:t>
      </w:r>
      <w:r>
        <w:t xml:space="preserve"> </w:t>
      </w:r>
      <w:r>
        <w:t xml:space="preserve">(15 Eylül günü: 115 / 77 mmHg; 2024 ESC arteriyel</w:t>
      </w:r>
      <w:r>
        <w:t xml:space="preserve"> </w:t>
      </w:r>
      <w:r>
        <w:t xml:space="preserve">hipertansiyon kılavuz hedefi ≤ 120/80 mmHg ile tam uyumlu; dP/dt kesme stresi kontrol altında) (Mancia et al.,</w:t>
      </w:r>
      <w:r>
        <w:t xml:space="preserve"> </w:t>
      </w:r>
      <w:r>
        <w:t xml:space="preserve">2023; McEvoy et al., 2024; Melby et al., 2013).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Koagülasyon (Son INR):</w:t>
      </w:r>
      <w:r>
        <w:t xml:space="preserve"> </w:t>
      </w:r>
      <w:r>
        <w:rPr>
          <w:b/>
          <w:bCs/>
        </w:rPr>
        <w:t xml:space="preserve">1.95</w:t>
      </w:r>
      <w:r>
        <w:t xml:space="preserve"> </w:t>
      </w:r>
      <w:r>
        <w:t xml:space="preserve">(15 Eylül 2026 Test #93; ⚠️ 25 mm Carbomedics mekanik aort kapağı için belirlenen</w:t>
      </w:r>
      <w:r>
        <w:t xml:space="preserve"> </w:t>
      </w:r>
      <w:r>
        <w:t xml:space="preserve">terapötik koridorun [2.0–3.0] altına inmiştir; Klamoks kürünün sonlanması sonrası tromboemboli riski nedeniyle</w:t>
      </w:r>
      <w:r>
        <w:t xml:space="preserve"> </w:t>
      </w:r>
      <w:r>
        <w:t xml:space="preserve">Warfarin doz artışı zorunludur) (Praz et al., 2025; Vahanian et al., 2022; Zhang et al., 2011).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Terapötik Aralıkta Kalma Süresi (Rosendaal TTR):</w:t>
      </w:r>
      <w:r>
        <w:t xml:space="preserve"> </w:t>
      </w:r>
      <w:r>
        <w:rPr>
          <w:b/>
          <w:bCs/>
        </w:rPr>
        <w:t xml:space="preserve">%53.7</w:t>
      </w:r>
      <w:r>
        <w:t xml:space="preserve"> </w:t>
      </w:r>
      <w:r>
        <w:t xml:space="preserve">(40 ölçümlük boylamsal seride labil antikoagülasyon</w:t>
      </w:r>
      <w:r>
        <w:t xml:space="preserve"> </w:t>
      </w:r>
      <w:r>
        <w:t xml:space="preserve">göstergesi; uluslararası kılavuz hedefi &gt; %70) (Rosendaal et al., 1993; Vahanian et al., 2022).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Hemoglobin / Hematokrit:</w:t>
      </w:r>
      <w:r>
        <w:t xml:space="preserve"> </w:t>
      </w:r>
      <w:r>
        <w:rPr>
          <w:b/>
          <w:bCs/>
        </w:rPr>
        <w:t xml:space="preserve">9.7 g/dL / %30.1</w:t>
      </w:r>
      <w:r>
        <w:t xml:space="preserve"> </w:t>
      </w:r>
      <w:r>
        <w:t xml:space="preserve">(15 Eylül Test #93; ağır mikrositer hipokrom demir eksikliği</w:t>
      </w:r>
      <w:r>
        <w:t xml:space="preserve"> </w:t>
      </w:r>
      <w:r>
        <w:t xml:space="preserve">anemisi; MCV: 76.7 fL, MCH: 24.6 pg; cerrahi dip değer: 7.7 g/dL) (Camaschella, 2015; Snook et al., 2021).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Demir Depoları (08 Eylül Test #90):</w:t>
      </w:r>
      <w:r>
        <w:t xml:space="preserve"> </w:t>
      </w:r>
      <w:r>
        <w:t xml:space="preserve">Serum Ferritini</w:t>
      </w:r>
      <w:r>
        <w:t xml:space="preserve"> </w:t>
      </w:r>
      <w:r>
        <w:rPr>
          <w:b/>
          <w:bCs/>
        </w:rPr>
        <w:t xml:space="preserve">19.0 µg/L</w:t>
      </w:r>
      <w:r>
        <w:t xml:space="preserve">, Serum Demiri</w:t>
      </w:r>
      <w:r>
        <w:t xml:space="preserve"> </w:t>
      </w:r>
      <w:r>
        <w:rPr>
          <w:b/>
          <w:bCs/>
        </w:rPr>
        <w:t xml:space="preserve">15.0 µg/dL</w:t>
      </w:r>
      <w:r>
        <w:t xml:space="preserve">, Doymamış Demir</w:t>
      </w:r>
      <w:r>
        <w:t xml:space="preserve"> </w:t>
      </w:r>
      <w:r>
        <w:t xml:space="preserve">Bağlama Kapasitesi (UIBC)</w:t>
      </w:r>
      <w:r>
        <w:t xml:space="preserve"> </w:t>
      </w:r>
      <w:r>
        <w:rPr>
          <w:b/>
          <w:bCs/>
        </w:rPr>
        <w:t xml:space="preserve">326.8 µg/dL</w:t>
      </w:r>
      <w:r>
        <w:t xml:space="preserve"> </w:t>
      </w:r>
      <w:r>
        <w:t xml:space="preserve">(Depolar tamamen tükenmiştir; 11 Eylül'de Ferro Sanol Duodenal 100 mg Fe²⁺</w:t>
      </w:r>
      <w:r>
        <w:t xml:space="preserve"> </w:t>
      </w:r>
      <w:r>
        <w:t xml:space="preserve">başlanmıştır) (Snook et al., 2021).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Enflamasyon (CRP) &amp; İnfeksiyon:</w:t>
      </w:r>
      <w:r>
        <w:t xml:space="preserve"> </w:t>
      </w:r>
      <w:r>
        <w:rPr>
          <w:b/>
          <w:bCs/>
        </w:rPr>
        <w:t xml:space="preserve">5.7 mg/L</w:t>
      </w:r>
      <w:r>
        <w:t xml:space="preserve"> </w:t>
      </w:r>
      <w:r>
        <w:t xml:space="preserve">(15 Eylül Test #93; 154.0 mg/L pikinden gerileyerek referans</w:t>
      </w:r>
      <w:r>
        <w:t xml:space="preserve"> </w:t>
      </w:r>
      <w:r>
        <w:t xml:space="preserve">sınırına [0.0–5.0 mg/L] inmiştir; -%96.3 düşüş; lökosit: 9.01 × 10⁹/L ile tamamen fizyolojiktir) (Horan et</w:t>
      </w:r>
      <w:r>
        <w:t xml:space="preserve"> </w:t>
      </w:r>
      <w:r>
        <w:t xml:space="preserve">al., 2008).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Vücut Ağırlığı &amp; Böbrek Fonksiyonu:</w:t>
      </w:r>
      <w:r>
        <w:t xml:space="preserve"> </w:t>
      </w:r>
      <w:r>
        <w:rPr>
          <w:b/>
          <w:bCs/>
        </w:rPr>
        <w:t xml:space="preserve">78.9 kg</w:t>
      </w:r>
      <w:r>
        <w:t xml:space="preserve"> </w:t>
      </w:r>
      <w:r>
        <w:t xml:space="preserve">(16 Eylül 2026; stabil, periferik/pulmoner ödem negatif), Serum</w:t>
      </w:r>
      <w:r>
        <w:t xml:space="preserve"> </w:t>
      </w:r>
      <w:r>
        <w:t xml:space="preserve">Kreatinin</w:t>
      </w:r>
      <w:r>
        <w:t xml:space="preserve"> </w:t>
      </w:r>
      <w:r>
        <w:rPr>
          <w:b/>
          <w:bCs/>
        </w:rPr>
        <w:t xml:space="preserve">1.11 mg/dL</w:t>
      </w:r>
      <w:r>
        <w:t xml:space="preserve">, eGFR</w:t>
      </w:r>
      <w:r>
        <w:t xml:space="preserve"> </w:t>
      </w:r>
      <w:r>
        <w:rPr>
          <w:b/>
          <w:bCs/>
        </w:rPr>
        <w:t xml:space="preserve">70.89 mL/dk/1.73 m²</w:t>
      </w:r>
      <w:r>
        <w:t xml:space="preserve"> </w:t>
      </w:r>
      <w:r>
        <w:t xml:space="preserve">(CKD-EPI 2021) (Inker et al., 2021; McDonagh et al., 2021).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07b1aa3fd87f5cd922301214799095608d11e7e"/>
    <w:p>
      <w:pPr>
        <w:pStyle w:val="Heading2"/>
      </w:pPr>
      <w:r>
        <w:t xml:space="preserve">2. ÇOK BOYUTLU PATOFİZYOLOJİK VE KLİNİK KONSÜLTASYON</w:t>
      </w:r>
    </w:p>
    <w:bookmarkStart w:id="12" w:name="Xdd5bde27d9945675971af88ee4b15de217baeb0"/>
    <w:p>
      <w:pPr>
        <w:pStyle w:val="Heading3"/>
      </w:pPr>
      <w:r>
        <w:t xml:space="preserve">2.1. Biyomekanik Aortik Duvar Gerilimi, dP/dt Kesme Stresi ve Rezidüel Stanford Tip B Flebi Dinamiği</w:t>
      </w:r>
    </w:p>
    <w:p>
      <w:pPr>
        <w:pStyle w:val="FirstParagraph"/>
      </w:pPr>
      <w:r>
        <w:t xml:space="preserve">Alaattin Sönmez'in cerrahi lojunda asendan aort 32 mm Dacron vasküler greft ile rezeke edilip onarılmış olmakla</w:t>
      </w:r>
      <w:r>
        <w:t xml:space="preserve"> </w:t>
      </w:r>
      <w:r>
        <w:t xml:space="preserve">birlikte; arkus aortadan başlayarak desendan torasik aort boyunca bilateral iliak bifurkasyona dek uzanan patent bir</w:t>
      </w:r>
      <w:r>
        <w:t xml:space="preserve"> </w:t>
      </w:r>
      <w:r>
        <w:t xml:space="preserve">rezidüel Stanford Tip B diseksiyon flebi mevcuttur (Czerny et al., 2024; Fleischmann et al., 2022). Aort damar duvarı</w:t>
      </w:r>
      <w:r>
        <w:t xml:space="preserve"> </w:t>
      </w:r>
      <w:r>
        <w:t xml:space="preserve">elastisitesini yitirmiş diseke segmentlerde, lümen içi gerilim ve duvar kesme stresi (dP/dt), sol ventrikül sistolik</w:t>
      </w:r>
      <w:r>
        <w:t xml:space="preserve"> </w:t>
      </w:r>
      <w:r>
        <w:t xml:space="preserve">ejeksiyon ivmesi ve sistemik kan basıncının pik değeriyle eksponansiyel olarak artar (Evangelista et al., 2024).</w:t>
      </w:r>
    </w:p>
    <w:p>
      <w:pPr>
        <w:pStyle w:val="BodyText"/>
      </w:pPr>
      <w:r>
        <w:t xml:space="preserve">Nisan 2026 ortasında ev ortamında kaydedilen 168/103 mmHg seviyesindeki akut hipertansif fırlamalar, diseke yalancı</w:t>
      </w:r>
      <w:r>
        <w:t xml:space="preserve"> </w:t>
      </w:r>
      <w:r>
        <w:t xml:space="preserve">lümende anevrizmatik genişleme, retrograd Tip A diseksiyon nüksü ve rüptür açısından en yüksek risk periyodunu</w:t>
      </w:r>
      <w:r>
        <w:t xml:space="preserve"> </w:t>
      </w:r>
      <w:r>
        <w:t xml:space="preserve">oluşturmuştur (Melby et al., 2013). Karvedilol (Dilatrend 6.25 mg BID), miyokardiyal beta-1, beta-2 ve alfa-1</w:t>
      </w:r>
      <w:r>
        <w:t xml:space="preserve"> </w:t>
      </w:r>
      <w:r>
        <w:t xml:space="preserve">adrenoseptör blokajı yaparak kontraktiliteyi ve kalp hızını düşürmüş, böylece ventriküler ejeksiyon ivmesini (dP/dt)</w:t>
      </w:r>
      <w:r>
        <w:t xml:space="preserve"> </w:t>
      </w:r>
      <w:r>
        <w:t xml:space="preserve">köreltmiştir (Isselbacher et al., 2022). Ağustos ayı başında tedaviye eklenen perindopril (Coversyl 5 mg QD) ise</w:t>
      </w:r>
      <w:r>
        <w:t xml:space="preserve"> </w:t>
      </w:r>
      <w:r>
        <w:t xml:space="preserve">anjiyotensin II aracılı vazokonstriksiyonu kırarak sistemik vasküler direnci (SVR) azaltmış ve afterload yükünü</w:t>
      </w:r>
      <w:r>
        <w:t xml:space="preserve"> </w:t>
      </w:r>
      <w:r>
        <w:t xml:space="preserve">hafifletmiştir (Mancia et al., 2023).</w:t>
      </w:r>
    </w:p>
    <w:p>
      <w:pPr>
        <w:pStyle w:val="BodyText"/>
      </w:pPr>
      <w:r>
        <w:t xml:space="preserve">Bu kombine sinerji sonucunda hastanın son 7 günlük kan basıncı ortalaması</w:t>
      </w:r>
      <w:r>
        <w:t xml:space="preserve"> </w:t>
      </w:r>
      <w:r>
        <w:rPr>
          <w:b/>
          <w:bCs/>
        </w:rPr>
        <w:t xml:space="preserve">113/76 mmHg</w:t>
      </w:r>
      <w:r>
        <w:t xml:space="preserve"> </w:t>
      </w:r>
      <w:r>
        <w:t xml:space="preserve">(15 Eylül günü: 115/77 mmHg)</w:t>
      </w:r>
      <w:r>
        <w:t xml:space="preserve"> </w:t>
      </w:r>
      <w:r>
        <w:t xml:space="preserve">seviyesine oturmuş olup, 2024 ESC kılavuzunun diseksiyonlu olgular için belirlediği katı ≤ 120/80 mmHg hedef</w:t>
      </w:r>
      <w:r>
        <w:t xml:space="preserve"> </w:t>
      </w:r>
      <w:r>
        <w:t xml:space="preserve">koridorunu tam olarak karşılamaktadır (McEvoy et al., 2024). 5 Mayıs 2026 kontrastlı Torakoabdominal BT Anjiyografisinde</w:t>
      </w:r>
      <w:r>
        <w:t xml:space="preserve"> </w:t>
      </w:r>
      <w:r>
        <w:t xml:space="preserve">inen aorta çapı 39 mm, suprarenal abdominal aorta çapı 38 mm ölçülmüştür. Bu görüntülemenin üzerinden 4.4 ay geçmiş</w:t>
      </w:r>
      <w:r>
        <w:t xml:space="preserve"> </w:t>
      </w:r>
      <w:r>
        <w:t xml:space="preserve">olup, kılavuzlar doğrultusunda 6. ay kontrol BT Anjiyografisi zamanı yaklaşmıştır (Czerny et al., 2024; Fleischmann et</w:t>
      </w:r>
      <w:r>
        <w:t xml:space="preserve"> </w:t>
      </w:r>
      <w:r>
        <w:t xml:space="preserve">al., 2022).</w:t>
      </w:r>
    </w:p>
    <w:p>
      <w:r>
        <w:pict>
          <v:rect style="width:0;height:1.5pt" o:hralign="center" o:hrstd="t" o:hr="t"/>
        </w:pict>
      </w:r>
    </w:p>
    <w:bookmarkEnd w:id="12"/>
    <w:bookmarkStart w:id="13" w:name="X50fec4cf8ce007959c94f09e043b805a3127d71"/>
    <w:p>
      <w:pPr>
        <w:pStyle w:val="Heading3"/>
      </w:pPr>
      <w:r>
        <w:t xml:space="preserve">2.2. Subterapötik INR 1.95, Klamoks Eliminasyon Kinetiği ve Mekanik Kapak Tromboemboli Riski</w:t>
      </w:r>
    </w:p>
    <w:p>
      <w:pPr>
        <w:pStyle w:val="FirstParagraph"/>
      </w:pPr>
      <w:r>
        <w:t xml:space="preserve">Hastaya implante edilen 25 mm çift yapraklı Carbomedics mekanik aort kapağı, hayat boyu Vitamin K Antagonisti (Warfarin)</w:t>
      </w:r>
      <w:r>
        <w:t xml:space="preserve"> </w:t>
      </w:r>
      <w:r>
        <w:t xml:space="preserve">ile antikoagülasyonu mutlak kılmaktadır (Praz et al., 2025; Vahanian et al., 2022). Mekanik aort protezinde uluslararası</w:t>
      </w:r>
      <w:r>
        <w:t xml:space="preserve"> </w:t>
      </w:r>
      <w:r>
        <w:t xml:space="preserve">hedef INR aralığı</w:t>
      </w:r>
      <w:r>
        <w:t xml:space="preserve"> </w:t>
      </w:r>
      <w:r>
        <w:rPr>
          <w:b/>
          <w:bCs/>
        </w:rPr>
        <w:t xml:space="preserve">2.0 – 3.0</w:t>
      </w:r>
      <w:r>
        <w:t xml:space="preserve"> </w:t>
      </w:r>
      <w:r>
        <w:t xml:space="preserve">(hedef medyan: 2.5) olup, terapötik aralıkta kalma süresi (TTR) &gt; %70 olmalıdır</w:t>
      </w:r>
      <w:r>
        <w:t xml:space="preserve"> </w:t>
      </w:r>
      <w:r>
        <w:t xml:space="preserve">(Rosendaal et al., 1993). Hastanın 40 ölçümlük boylamsal takibinde Rosendaal TTR oranı</w:t>
      </w:r>
      <w:r>
        <w:t xml:space="preserve"> </w:t>
      </w:r>
      <w:r>
        <w:rPr>
          <w:b/>
          <w:bCs/>
        </w:rPr>
        <w:t xml:space="preserve">%53.7</w:t>
      </w:r>
      <w:r>
        <w:t xml:space="preserve"> </w:t>
      </w:r>
      <w:r>
        <w:t xml:space="preserve">bulunmuştur; bu durum</w:t>
      </w:r>
      <w:r>
        <w:t xml:space="preserve"> </w:t>
      </w:r>
      <w:r>
        <w:t xml:space="preserve">antikoagülasyonun labil seyrettiğine ve subterapötik tromboz pencereleri oluştuğuna işaret eder.</w:t>
      </w:r>
    </w:p>
    <w:p>
      <w:pPr>
        <w:pStyle w:val="BodyText"/>
      </w:pPr>
      <w:r>
        <w:t xml:space="preserve">4 Eylül'de CRP yüksekliği nedeniyle başlanan amoksisilin/klavulanik asit (Klamoks BID 1000 mg) kürü, bağırsak</w:t>
      </w:r>
      <w:r>
        <w:t xml:space="preserve"> </w:t>
      </w:r>
      <w:r>
        <w:t xml:space="preserve">mikrobiyotasında Vitamin K2 (menakinon) üreten anaerobik florayı baskılayarak ve hepatik CYP2C9 klirensini geciktirerek</w:t>
      </w:r>
      <w:r>
        <w:t xml:space="preserve"> </w:t>
      </w:r>
      <w:r>
        <w:t xml:space="preserve">serbest warfarin düzeyini yükseltme eğilimindedir (Zhang et al., 2011). 10 Eylül'de INR 2.12 seviyesinde iken,</w:t>
      </w:r>
      <w:r>
        <w:t xml:space="preserve"> </w:t>
      </w:r>
      <w:r>
        <w:t xml:space="preserve">antibiyotik kürünün 11 Eylül saat 20:59'da tamamlanarak kesilmesi sonucunda floranın toparlanması ve CYP enzim</w:t>
      </w:r>
      <w:r>
        <w:t xml:space="preserve"> </w:t>
      </w:r>
      <w:r>
        <w:t xml:space="preserve">aktivitesinin reküperasyonu ile serbest warfarin klirensi hızlanmıştır. Bunun doğrudan sonucu olarak</w:t>
      </w:r>
      <w:r>
        <w:t xml:space="preserve"> </w:t>
      </w:r>
      <w:r>
        <w:rPr>
          <w:b/>
          <w:bCs/>
        </w:rPr>
        <w:t xml:space="preserve">15 Eylül 2026</w:t>
      </w:r>
      <w:r>
        <w:rPr>
          <w:b/>
          <w:bCs/>
        </w:rPr>
        <w:t xml:space="preserve"> </w:t>
      </w:r>
      <w:r>
        <w:rPr>
          <w:b/>
          <w:bCs/>
        </w:rPr>
        <w:t xml:space="preserve">Test #93 kontrolünde INR 1.95'e (PT: 18.4 sn, aPTT: 44.4 sn) gerilemiştir</w:t>
      </w:r>
      <w:r>
        <w:t xml:space="preserve">.</w:t>
      </w:r>
    </w:p>
    <w:p>
      <w:pPr>
        <w:pStyle w:val="BodyText"/>
      </w:pPr>
      <w:r>
        <w:t xml:space="preserve">INR'nin 2.0 kritik sınırının altına düşmesi, 25 mm Carbomedics protez kapak yaprakçık menteşelerinde trombüs formasyonu,</w:t>
      </w:r>
      <w:r>
        <w:t xml:space="preserve"> </w:t>
      </w:r>
      <w:r>
        <w:t xml:space="preserve">kapak disfonksiyonu ve serebral/sistemik mikroemboli riskini katlayarak artırmaktadır (Praz et al., 2025; Vahanian et</w:t>
      </w:r>
      <w:r>
        <w:t xml:space="preserve"> </w:t>
      </w:r>
      <w:r>
        <w:t xml:space="preserve">al., 2022). Warfmadin haftalık dozu derhal</w:t>
      </w:r>
      <w:r>
        <w:t xml:space="preserve"> </w:t>
      </w:r>
      <w:r>
        <w:rPr>
          <w:b/>
          <w:bCs/>
        </w:rPr>
        <w:t xml:space="preserve">20 mg/hf → 22.5–25 mg/hf</w:t>
      </w:r>
      <w:r>
        <w:t xml:space="preserve"> </w:t>
      </w:r>
      <w:r>
        <w:t xml:space="preserve">düzeyine titre edilmeli; hastanın</w:t>
      </w:r>
      <w:r>
        <w:t xml:space="preserve"> </w:t>
      </w:r>
      <w:r>
        <w:t xml:space="preserve">beslenmesinde K vitamini dalgalanmaları önlenmeli ve 7–10 gün içerisinde (22–25 Eylül) kontrol INR tetkiki yapılmalıdır</w:t>
      </w:r>
      <w:r>
        <w:t xml:space="preserve"> </w:t>
      </w:r>
      <w:r>
        <w:t xml:space="preserve">(Ageno et al., 2012).</w:t>
      </w:r>
    </w:p>
    <w:p>
      <w:pPr>
        <w:pStyle w:val="BodyText"/>
      </w:pPr>
      <w:r>
        <w:t xml:space="preserve">Eşzamanlı kullanılan EcopirinPro (Aspirin 81 mg QD), koroner buton anastomoz hatlarında ve Dacron greftte trombosit</w:t>
      </w:r>
      <w:r>
        <w:t xml:space="preserve"> </w:t>
      </w:r>
      <w:r>
        <w:t xml:space="preserve">adezyonunu engelleyerek antitrombotik koruma sağlarken, Warfarin ile birlikte majör gastrointestinal kanama riskini</w:t>
      </w:r>
      <w:r>
        <w:t xml:space="preserve"> </w:t>
      </w:r>
      <w:r>
        <w:t xml:space="preserve">artırmaktadır (Whitlock et al., 2023). Bu nedenle Pantoprazol (Panto 40 mg QD) ile mukozal sitoproteksiyon</w:t>
      </w:r>
      <w:r>
        <w:t xml:space="preserve"> </w:t>
      </w:r>
      <w:r>
        <w:t xml:space="preserve">sürdürülmelidir (Bhatt et al., 2010).</w:t>
      </w:r>
    </w:p>
    <w:p>
      <w:r>
        <w:pict>
          <v:rect style="width:0;height:1.5pt" o:hralign="center" o:hrstd="t" o:hr="t"/>
        </w:pict>
      </w:r>
    </w:p>
    <w:bookmarkEnd w:id="13"/>
    <w:bookmarkStart w:id="14" w:name="Xdc33f1e2502feddf93db3c8ff176deb5b80c2e1"/>
    <w:p>
      <w:pPr>
        <w:pStyle w:val="Heading3"/>
      </w:pPr>
      <w:r>
        <w:t xml:space="preserve">2.3. Derin Mikrositik Hipokrom Demir Eksikliği Anemisi, Enterik Mikropellet Kinetiği ve PPI Zamanlama Protokolü</w:t>
      </w:r>
    </w:p>
    <w:p>
      <w:pPr>
        <w:pStyle w:val="FirstParagraph"/>
      </w:pPr>
      <w:r>
        <w:t xml:space="preserve">Hastanın 15 Eylül 2026 Test #93 hematoloji paneli ağır mikrositik hipokrom anemi tablosunu teyit etmektedir: Hemoglobin</w:t>
      </w:r>
      <w:r>
        <w:t xml:space="preserve"> </w:t>
      </w:r>
      <w:r>
        <w:rPr>
          <w:b/>
          <w:bCs/>
        </w:rPr>
        <w:t xml:space="preserve">9.7 g/dL</w:t>
      </w:r>
      <w:r>
        <w:t xml:space="preserve">, Hematokrit</w:t>
      </w:r>
      <w:r>
        <w:t xml:space="preserve"> </w:t>
      </w:r>
      <w:r>
        <w:rPr>
          <w:b/>
          <w:bCs/>
        </w:rPr>
        <w:t xml:space="preserve">%30.1</w:t>
      </w:r>
      <w:r>
        <w:t xml:space="preserve">, Eritrosit Sayısı</w:t>
      </w:r>
      <w:r>
        <w:t xml:space="preserve"> </w:t>
      </w:r>
      <w:r>
        <w:rPr>
          <w:b/>
          <w:bCs/>
        </w:rPr>
        <w:t xml:space="preserve">3.93 × 10^{12}/L</w:t>
      </w:r>
      <w:r>
        <w:t xml:space="preserve">, MCV</w:t>
      </w:r>
      <w:r>
        <w:t xml:space="preserve"> </w:t>
      </w:r>
      <w:r>
        <w:rPr>
          <w:b/>
          <w:bCs/>
        </w:rPr>
        <w:t xml:space="preserve">76.7 fL</w:t>
      </w:r>
      <w:r>
        <w:t xml:space="preserve"> </w:t>
      </w:r>
      <w:r>
        <w:t xml:space="preserve">(referans: 75.0–98.3</w:t>
      </w:r>
      <w:r>
        <w:t xml:space="preserve"> </w:t>
      </w:r>
      <w:r>
        <w:t xml:space="preserve">fL; derin mikrositoz), MCH</w:t>
      </w:r>
      <w:r>
        <w:t xml:space="preserve"> </w:t>
      </w:r>
      <w:r>
        <w:rPr>
          <w:b/>
          <w:bCs/>
        </w:rPr>
        <w:t xml:space="preserve">24.6 pg</w:t>
      </w:r>
      <w:r>
        <w:t xml:space="preserve"> </w:t>
      </w:r>
      <w:r>
        <w:t xml:space="preserve">ve MCHC</w:t>
      </w:r>
      <w:r>
        <w:t xml:space="preserve"> </w:t>
      </w:r>
      <w:r>
        <w:rPr>
          <w:b/>
          <w:bCs/>
        </w:rPr>
        <w:t xml:space="preserve">32.2 g/dL</w:t>
      </w:r>
      <w:r>
        <w:t xml:space="preserve"> </w:t>
      </w:r>
      <w:r>
        <w:t xml:space="preserve">(Camaschella, 2015; Snook et al., 2021). 8 Eylül Test</w:t>
      </w:r>
      <w:r>
        <w:t xml:space="preserve"> </w:t>
      </w:r>
      <w:r>
        <w:t xml:space="preserve">#90'da çalışılan demir paneli ise serum ferritini</w:t>
      </w:r>
      <w:r>
        <w:t xml:space="preserve"> </w:t>
      </w:r>
      <w:r>
        <w:rPr>
          <w:b/>
          <w:bCs/>
        </w:rPr>
        <w:t xml:space="preserve">19.0 µg/L</w:t>
      </w:r>
      <w:r>
        <w:t xml:space="preserve"> </w:t>
      </w:r>
      <w:r>
        <w:t xml:space="preserve">(tükenmiş depo, &lt;30 µg/L), serum demiri</w:t>
      </w:r>
      <w:r>
        <w:t xml:space="preserve"> </w:t>
      </w:r>
      <w:r>
        <w:rPr>
          <w:b/>
          <w:bCs/>
        </w:rPr>
        <w:t xml:space="preserve">15.0 µg/dL</w:t>
      </w:r>
      <w:r>
        <w:t xml:space="preserve"> </w:t>
      </w:r>
      <w:r>
        <w:t xml:space="preserve">(kritik düşüş, referans: 59–158 µg/dL) ve UIBC</w:t>
      </w:r>
      <w:r>
        <w:t xml:space="preserve"> </w:t>
      </w:r>
      <w:r>
        <w:rPr>
          <w:b/>
          <w:bCs/>
        </w:rPr>
        <w:t xml:space="preserve">326.8 µg/dL</w:t>
      </w:r>
      <w:r>
        <w:t xml:space="preserve"> </w:t>
      </w:r>
      <w:r>
        <w:t xml:space="preserve">ile mutlak demir eksikliğini kanıtlamaktadır (Snook et</w:t>
      </w:r>
      <w:r>
        <w:t xml:space="preserve"> </w:t>
      </w:r>
      <w:r>
        <w:t xml:space="preserve">al., 2021).</w:t>
      </w:r>
    </w:p>
    <w:p>
      <w:pPr>
        <w:pStyle w:val="BodyText"/>
      </w:pPr>
      <w:r>
        <w:t xml:space="preserve">Etiyolojide 20 Şubat açık kalp cerrahisindeki kardiyopulmoner baypas hemodilüsyonu, 23–28 Temmuz sternal cerrahi</w:t>
      </w:r>
      <w:r>
        <w:t xml:space="preserve"> </w:t>
      </w:r>
      <w:r>
        <w:t xml:space="preserve">revizyonundaki kan kaybı (HGB dip 7.7 g/dL) ve dual antitrombotik (Warfarin + Aspirin) zeminindeki olası subklinik</w:t>
      </w:r>
      <w:r>
        <w:t xml:space="preserve"> </w:t>
      </w:r>
      <w:r>
        <w:t xml:space="preserve">gastrointestinal sızıntılar rol oynamaktadır. Dokulardaki hipoksi kompanzatuar sempatik tonus artışına, taşikardiye ve</w:t>
      </w:r>
      <w:r>
        <w:t xml:space="preserve"> </w:t>
      </w:r>
      <w:r>
        <w:t xml:space="preserve">kardiyak debi sıçramasına yol açarak rezidüel Tip B diseksiyon flebindeki kesme stresini (dP/dt) artırır; bu sebeple</w:t>
      </w:r>
      <w:r>
        <w:t xml:space="preserve"> </w:t>
      </w:r>
      <w:r>
        <w:t xml:space="preserve">aneminin hızla düzeltilmesi birincil hemodinamik koruma tedbiridir (Melby et al., 2013).</w:t>
      </w:r>
    </w:p>
    <w:p>
      <w:pPr>
        <w:pStyle w:val="BodyText"/>
      </w:pPr>
      <w:r>
        <w:t xml:space="preserve">11 Eylül sabahı başlanan oral</w:t>
      </w:r>
      <w:r>
        <w:t xml:space="preserve"> </w:t>
      </w:r>
      <w:r>
        <w:rPr>
          <w:b/>
          <w:bCs/>
        </w:rPr>
        <w:t xml:space="preserve">Ferro Sanol Duodenal 100 mg Kapsül</w:t>
      </w:r>
      <w:r>
        <w:t xml:space="preserve"> </w:t>
      </w:r>
      <w:r>
        <w:t xml:space="preserve">(ferröz glisin sülfat eşdeğeri 100 mg Fe²⁺),</w:t>
      </w:r>
      <w:r>
        <w:t xml:space="preserve"> </w:t>
      </w:r>
      <w:r>
        <w:t xml:space="preserve">enterik kaplı mikropellet teknolojisine sahiptir (Camaschella, 2015). Bu formülasyon ilacın asidik midede açılmasını</w:t>
      </w:r>
      <w:r>
        <w:t xml:space="preserve"> </w:t>
      </w:r>
      <w:r>
        <w:t xml:space="preserve">engelleyerek gastrik mukozayı korur; mikropelletler duodenal lümende (pH &gt;5.5) açılarak ferröz demiri doğrudan emilim</w:t>
      </w:r>
      <w:r>
        <w:t xml:space="preserve"> </w:t>
      </w:r>
      <w:r>
        <w:t xml:space="preserve">bölgesine salar (Snook et al., 2021). Ancak eşzamanlı kullanılan Pantoprazol (Panto 40 mg), gastrik asit sekresyonunu</w:t>
      </w:r>
      <w:r>
        <w:t xml:space="preserve"> </w:t>
      </w:r>
      <w:r>
        <w:t xml:space="preserve">baskılayıp proksimal duodenal pH'ı yükselterek ferröz demirin çözünürlüğünü ve duodenal DMT-1 (Divalent Metal</w:t>
      </w:r>
      <w:r>
        <w:t xml:space="preserve"> </w:t>
      </w:r>
      <w:r>
        <w:t xml:space="preserve">Transporter-1) aracılı enterosit taşınmasını %60–80 oranında inhibe edebilir (Camaschella, 2015; Snook et al., 2021).</w:t>
      </w:r>
    </w:p>
    <w:p>
      <w:pPr>
        <w:pStyle w:val="BodyText"/>
      </w:pPr>
      <w:r>
        <w:t xml:space="preserve">Biyoyararlanımı maksimize etmek için hastaya şu günlük uygulama kuralı mutlak olarak öğretilmelidir: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06:30 (Sabah Uyanış):</w:t>
      </w:r>
      <w:r>
        <w:t xml:space="preserve"> </w:t>
      </w:r>
      <w:r>
        <w:t xml:space="preserve">Aç karnına, bol oda sıcaklığında su ile 1 adet</w:t>
      </w:r>
      <w:r>
        <w:t xml:space="preserve"> </w:t>
      </w:r>
      <w:r>
        <w:rPr>
          <w:b/>
          <w:bCs/>
        </w:rPr>
        <w:t xml:space="preserve">Ferro Sanol Duodenal 100 mg</w:t>
      </w:r>
      <w:r>
        <w:t xml:space="preserve"> </w:t>
      </w:r>
      <w:r>
        <w:t xml:space="preserve">kapsül</w:t>
      </w:r>
      <w:r>
        <w:t xml:space="preserve"> </w:t>
      </w:r>
      <w:r>
        <w:t xml:space="preserve">çiğnenmeden yutulur.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07:30 (En Az 1 Saat Sonra):</w:t>
      </w:r>
      <w:r>
        <w:t xml:space="preserve"> </w:t>
      </w:r>
      <w:r>
        <w:t xml:space="preserve">Mide koruyucu</w:t>
      </w:r>
      <w:r>
        <w:t xml:space="preserve"> </w:t>
      </w:r>
      <w:r>
        <w:rPr>
          <w:b/>
          <w:bCs/>
        </w:rPr>
        <w:t xml:space="preserve">Panto 40 mg</w:t>
      </w:r>
      <w:r>
        <w:t xml:space="preserve"> </w:t>
      </w:r>
      <w:r>
        <w:t xml:space="preserve">tablet alınır.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08:00 (Panto'dan 30 Dakika Sonra):</w:t>
      </w:r>
      <w:r>
        <w:t xml:space="preserve"> </w:t>
      </w:r>
      <w:r>
        <w:t xml:space="preserve">Sabah kahvaltısı yapılır.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Az 2 Saat Kuralı:</w:t>
      </w:r>
      <w:r>
        <w:t xml:space="preserve"> </w:t>
      </w:r>
      <w:r>
        <w:t xml:space="preserve">Çay, kahve, süt, yoğurt ve peynir gibi polifenol ve kalsiyum içeren besinler demir emilimini</w:t>
      </w:r>
      <w:r>
        <w:t xml:space="preserve"> </w:t>
      </w:r>
      <w:r>
        <w:t xml:space="preserve">felç ettiğinden, Ferro Sanol alımından sonraki ilk 2 saat boyunca kesinlikle tüketilmemelidir (Snook et al., 2021).</w:t>
      </w:r>
    </w:p>
    <w:p>
      <w:pPr>
        <w:pStyle w:val="FirstParagraph"/>
      </w:pPr>
      <w:r>
        <w:t xml:space="preserve">Hastanın Mart ayında geçirdiği şiddetli obstipasyon yatışı nedeniyle barsak alışkanlıkları yakından izlenmelidir. Oral</w:t>
      </w:r>
      <w:r>
        <w:t xml:space="preserve"> </w:t>
      </w:r>
      <w:r>
        <w:t xml:space="preserve">demire bağlı dışkı siyahlaşması fizyolojiktir; ancak katran kıvamında, pis kokulu melena dışkılamada derhal acile</w:t>
      </w:r>
      <w:r>
        <w:t xml:space="preserve"> </w:t>
      </w:r>
      <w:r>
        <w:t xml:space="preserve">başvurulmalıdır. 4 haftalık oral replasmana rağmen HGB artışı &lt; 1.0 g/dL kalırsa veya GİS intoleransı gelişirse, tek</w:t>
      </w:r>
      <w:r>
        <w:t xml:space="preserve"> </w:t>
      </w:r>
      <w:r>
        <w:t xml:space="preserve">doz</w:t>
      </w:r>
      <w:r>
        <w:t xml:space="preserve"> </w:t>
      </w:r>
      <w:r>
        <w:rPr>
          <w:b/>
          <w:bCs/>
        </w:rPr>
        <w:t xml:space="preserve">İntravenöz Ferrik Karboksimaltoz (Ferinject 1000 mg)</w:t>
      </w:r>
      <w:r>
        <w:t xml:space="preserve"> </w:t>
      </w:r>
      <w:r>
        <w:t xml:space="preserve">infüzyonuna geçilmelidir (Richards et al., 2021; Snook et</w:t>
      </w:r>
      <w:r>
        <w:t xml:space="preserve"> </w:t>
      </w:r>
      <w:r>
        <w:t xml:space="preserve">al., 2021). Erkek hastada derin demir eksikliğinde gastrointestinal patolojileri dışlamak için 3 ardışık Gaitada Gizli</w:t>
      </w:r>
      <w:r>
        <w:t xml:space="preserve"> </w:t>
      </w:r>
      <w:r>
        <w:t xml:space="preserve">Kan (GGK/FIT) testi ve endoskopik değerlendirme şarttır (Goddard et al., 2011).</w:t>
      </w:r>
    </w:p>
    <w:p>
      <w:r>
        <w:pict>
          <v:rect style="width:0;height:1.5pt" o:hralign="center" o:hrstd="t" o:hr="t"/>
        </w:pict>
      </w:r>
    </w:p>
    <w:bookmarkEnd w:id="14"/>
    <w:bookmarkStart w:id="15" w:name="X5c3e2ea9175fe7b5aae032ee8768041083b3d89"/>
    <w:p>
      <w:pPr>
        <w:pStyle w:val="Heading3"/>
      </w:pPr>
      <w:r>
        <w:t xml:space="preserve">2.4. Sternal Dehissens Sonrası İyileşme, CRP Remisyonu ve Protez Kapak Endokarditi (PKE) Ekartasyon Protokolü</w:t>
      </w:r>
    </w:p>
    <w:p>
      <w:pPr>
        <w:pStyle w:val="FirstParagraph"/>
      </w:pPr>
      <w:r>
        <w:t xml:space="preserve">23–28 Temmuz 2026 tarihleri arasında sternal insizyon hattında dikiş ayrılması, pürülan akıntı ve derin cerrahi alan</w:t>
      </w:r>
      <w:r>
        <w:t xml:space="preserve"> </w:t>
      </w:r>
      <w:r>
        <w:t xml:space="preserve">enfeksiyonu nedeniyle yatırılan hasta; debridman, rewiring çelik sütürasyon ve parenteral Sulcid tedavisi ile kontrol</w:t>
      </w:r>
      <w:r>
        <w:t xml:space="preserve"> </w:t>
      </w:r>
      <w:r>
        <w:t xml:space="preserve">altına alınmıştır (Horan et al., 2008; Kaul, 2017). 4–11 Eylül tarihleri arasında uygulanan Klamoks BID 1000 mg kürünün</w:t>
      </w:r>
      <w:r>
        <w:t xml:space="preserve"> </w:t>
      </w:r>
      <w:r>
        <w:t xml:space="preserve">tamamlanmasının ardından, 15 Eylül kontrolünde</w:t>
      </w:r>
      <w:r>
        <w:t xml:space="preserve"> </w:t>
      </w:r>
      <w:r>
        <w:rPr>
          <w:b/>
          <w:bCs/>
        </w:rPr>
        <w:t xml:space="preserve">CRP 5.7 mg/L'ye (referans: 0.0–5.0 mg/L)</w:t>
      </w:r>
      <w:r>
        <w:t xml:space="preserve"> </w:t>
      </w:r>
      <w:r>
        <w:t xml:space="preserve">gerilemiş; 21 Şubat'taki</w:t>
      </w:r>
      <w:r>
        <w:t xml:space="preserve"> </w:t>
      </w:r>
      <w:r>
        <w:t xml:space="preserve">154.0 mg/L pikine göre -%96.3 düşüş sağlanmıştır. Lökosit sayısı 9.01 × 10⁹/L ve NLR oranı 1.16 olup</w:t>
      </w:r>
      <w:r>
        <w:t xml:space="preserve"> </w:t>
      </w:r>
      <w:r>
        <w:t xml:space="preserve">inflamatuvar fırtınanın dindiğini kanıtlamaktadır (Horan et al., 2008).</w:t>
      </w:r>
    </w:p>
    <w:p>
      <w:pPr>
        <w:pStyle w:val="BodyText"/>
      </w:pPr>
      <w:r>
        <w:t xml:space="preserve">Buna rağmen mekanik aort kapak replasmanı yapılmış bireylerde cerrahi alan enfeksiyonu öyküsü, Protez Kapak Endokarditi</w:t>
      </w:r>
      <w:r>
        <w:t xml:space="preserve"> </w:t>
      </w:r>
      <w:r>
        <w:t xml:space="preserve">(PKE) açısından kalıcı teyakkuz gerektirir (Delgado et al., 2023). Bakteriyemi riski taşıyan invaziv diş işlemleri veya</w:t>
      </w:r>
      <w:r>
        <w:t xml:space="preserve"> </w:t>
      </w:r>
      <w:r>
        <w:t xml:space="preserve">cerrahi müdahaleler öncesinde amoksisilin 2g (alerji durumunda klindamisin 600 mg) profilaksisi zorunludur (Delgado et</w:t>
      </w:r>
      <w:r>
        <w:t xml:space="preserve"> </w:t>
      </w:r>
      <w:r>
        <w:t xml:space="preserve">al., 2023; Wilson et al., 2016). Hastada persistan ateş (≥ 38°C), titreme, gece terlemesi, açıklanamayan</w:t>
      </w:r>
      <w:r>
        <w:t xml:space="preserve"> </w:t>
      </w:r>
      <w:r>
        <w:t xml:space="preserve">halsizlik, mekanik kapak klik sesinde boğuklaşma veya yeni diyastolik/sistolik üfürüm duyulması durumunda ampirik</w:t>
      </w:r>
      <w:r>
        <w:t xml:space="preserve"> </w:t>
      </w:r>
      <w:r>
        <w:t xml:space="preserve">antibiyotikten kaçınılmalı; derhal 3 ayrı venden 30 dakika arayla kan kültürleri alınmalı ve Transözofageal</w:t>
      </w:r>
      <w:r>
        <w:t xml:space="preserve"> </w:t>
      </w:r>
      <w:r>
        <w:t xml:space="preserve">Ekokardiyografi (TEE) ile protez kapak ve Dacron greft anastomoz hatları vejetasyon/apse yönünden incelenmelidir</w:t>
      </w:r>
      <w:r>
        <w:t xml:space="preserve"> </w:t>
      </w:r>
      <w:r>
        <w:t xml:space="preserve">(Delgado et al., 2023).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540c01714394cc84d3df53f8bf36fd3b23c0864"/>
    <w:p>
      <w:pPr>
        <w:pStyle w:val="Heading2"/>
      </w:pPr>
      <w:r>
        <w:t xml:space="preserve">3. 32 PARAMETRELİK TÜMLEŞİK BOYLAMSAL BİYOBELİRTEÇ DEĞİŞİM MASTER TABLOSU</w:t>
      </w:r>
    </w:p>
    <w:p>
      <w:pPr>
        <w:pStyle w:val="FirstParagraph"/>
      </w:pPr>
      <w:r>
        <w:rPr>
          <w:i/>
          <w:iCs/>
        </w:rPr>
        <w:t xml:space="preserve">Not: 15 Eylül 2026 Test #93 kapsamında çalışılmayan demir, vitamin ve lipid paneli parametreleri, veri tabanındaki en</w:t>
      </w:r>
      <w:r>
        <w:rPr>
          <w:i/>
          <w:iCs/>
        </w:rPr>
        <w:t xml:space="preserve"> </w:t>
      </w:r>
      <w:r>
        <w:rPr>
          <w:i/>
          <w:iCs/>
        </w:rPr>
        <w:t xml:space="preserve">son resmi ölçüm olan 08 Eylül 2026 Test #90 tarihiyle açıkça belirtilmiştir.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Biyobelirteç / Kod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Referans Aralığı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İlk Değer (19 Şub)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Zirve / Dip Noktası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Son Değer (Tarih - Test)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Yüzdesel Değişim (%Δ)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Klinik 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Kılavuz ve Literatür Dayanağı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Hemoglobin (HGB)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13.4 – 17.6 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 (Dip - 27 Tem)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9.7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-%30.7 (Bazale göre)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BSG 2021; 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Hematokrit (HCT)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%40.5 – 53.6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 (Dip - 22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30.1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-%27.3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Goddard et al., 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Eritrosit Sayısı (RBC)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 – 6.12 × 10^{12}/L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2.73 (Dip - 22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3.93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Eritrosit Hacmi (MCV)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75.0 – 98.3 fL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76.4 (Dip - 08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76.7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MİKROSİTER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Eritrosit Hb (MCH)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23.2 – 33.2 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 (Dip - 02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24.6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-%20.1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HİPOKROM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MCHC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31.3 – 34.8 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 (Dip - 05 May)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32.2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RDW-CV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%11.7 – 15.3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20.2 (Pik - 05 May)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18.2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+%30.9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ANİZOSİTOZ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RDW-SD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38.4 – 47.6 fL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61.2 (Pik - 05 May)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51.8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+%13.3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Camaschella,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Serum Ferritini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 – 400.0 µg/L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 (Dip - 08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19.0</w:t>
            </w:r>
            <w:r>
              <w:t xml:space="preserve"> </w:t>
            </w:r>
            <w:r>
              <w:t xml:space="preserve">(08 Eyl #90)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Tükendi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KRİTİK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 HF 2021; 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Serum Demiri (Fe)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59.0 – 158.0 µg/dL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 (Dip - 08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15.0</w:t>
            </w:r>
            <w:r>
              <w:t xml:space="preserve"> </w:t>
            </w:r>
            <w:r>
              <w:t xml:space="preserve">(08 Eyl #90)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Tükendi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KRİTİK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UIBC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110.0 – 370.0 µg/dL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326.8 (08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326.8</w:t>
            </w:r>
            <w:r>
              <w:t xml:space="preserve"> </w:t>
            </w:r>
            <w:r>
              <w:t xml:space="preserve">(08 Eyl #90)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Stabil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 Vitamin B12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211.0 – 946.0 pg/mL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638.0 (08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638.0</w:t>
            </w:r>
            <w:r>
              <w:t xml:space="preserve"> </w:t>
            </w:r>
            <w:r>
              <w:t xml:space="preserve">(08 Eyl #90)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Yeterli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 Folat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 – 17.5 ng/mL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 (08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4.76</w:t>
            </w:r>
            <w:r>
              <w:t xml:space="preserve"> </w:t>
            </w:r>
            <w:r>
              <w:t xml:space="preserve">(08 Eyl #90)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Yeterli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Snook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14. C-Reaktif Protein (CRP)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– 5.0 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154.0 (Pik - 21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5.7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-%96.3 (Pik'e göre)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REMİSYONDA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/ NHSN; 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 Lökosit Sayısı (WBC)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 – 9.75 × 10⁹/L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27.10 (Pik - 21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9.01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-%15.2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16. Nötrofil Sayısı (NEU#)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 – 6.44 × 10⁹/L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12.37 (Pik - 02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4.52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-%62.9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17. Nötrofil Yüzdesi (NEU%)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%41.2 – 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84.2 (Pik - 19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50.1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-%40.5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18. Lenfosit Sayısı (LYM#)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– 3.43 × 10⁹/L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 (Pik - 20 Ağu)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3.88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+%131.0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HAFİF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19. Lenfosit Yüzdesi (LYM%)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%19.0 – 48.9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46.2 (Pik - 25 Ağu)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43.1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+%271.6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 Nötrofil/Lenfosit (NLR)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– 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 (Dip - 03 Ağu)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1.16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-%21.1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Horan et al., 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21. Trombosit Sayısı (PLT)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 – 387 × 10⁹/L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88.0 (Dip - 22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368.0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+%125.8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Vahanian et al.,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22. Koagülasyon (INR)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 – 3.0 (Hedef)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8.46 (Pik - 16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1.95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-0.17 (10 Eyl'e göre)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HEDEF ALTI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ESC/EACTS; Vahanian et al.,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 Protrombin Zamanı (PT)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 – 12.0 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64.0 (Pik - 16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18.4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+%40.5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UZAMIŞ (VKA)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Vahanian et al.,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24. aPTT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23.9 – 33.2 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85.5 (Pik - 16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44.4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+%59.1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UZAMIŞ (VKA)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Vahanian et al.,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25. Protrombin Akt. (PT%)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%74.4 – 130.0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 (Dip - 16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46.3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-%44.1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BASKILANMIŞ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Vahanian et al.,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26. Serum Kreatinin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 – 1.2 mg/dL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 (Pik - 20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1.11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CKD Work Group,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27. eGFR (CKD-EPI)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&gt;60 mL/dk/1.73 m²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94.00 (Pik - 23 Tem)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70.89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Inker et al.,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28. Üre Azotu (BUN)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 – 20.0 mg/dL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29.0 (Pik - 25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14.5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CKD Work Group,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29. Potasyum (K)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 – 5.5 mmol/L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5.05 (Pik - 15 Eyl)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5.05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+%38.7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 (ÜST)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CKD Work Group,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30. Sodyum (Na)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 – 145 mmol/L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149.0 (Pik - 21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138.0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CKD Work Group,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31. Klor (Cl)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– 110 mmol/L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94.0 (Dip - 16 Mar)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101.0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-%1.9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CKD Work Group,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32. Açlık Glukozu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 – 115 mg/dL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146.0 (Postop 21 Şub)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98.0</w:t>
            </w:r>
            <w:r>
              <w:t xml:space="preserve"> </w:t>
            </w:r>
            <w:r>
              <w:t xml:space="preserve">(15 Eyl #93)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+%21.0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Standards of Care, 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45e01d2b1de718c86805e716442065f4afbd67"/>
    <w:p>
      <w:pPr>
        <w:pStyle w:val="Heading2"/>
      </w:pPr>
      <w:r>
        <w:t xml:space="preserve">4. GÜNCEL FARMAKOTERAPİ VE RİSK YÖNETİM MATRİSİ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Warfmadin (Varfarin Sodyum) 5 mg Tablet: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Haftalık 20 mg (1 Ağustos'tan beri stabil rejim).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25 mm Carbomedics mekanik protez aort kapağında tromboembolizm profilaksisi (Vahanian et al.,</w:t>
      </w:r>
      <w:r>
        <w:t xml:space="preserve"> </w:t>
      </w:r>
      <w:r>
        <w:t xml:space="preserve">2022).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⚠️ KRİTİK KLİNİK ALARM &amp; DOZ REVİZYONU:</w:t>
      </w:r>
      <w:r>
        <w:t xml:space="preserve"> </w:t>
      </w:r>
      <w:r>
        <w:t xml:space="preserve">15 Eylül kontrolünde INR</w:t>
      </w:r>
      <w:r>
        <w:t xml:space="preserve"> </w:t>
      </w:r>
      <w:r>
        <w:rPr>
          <w:b/>
          <w:bCs/>
        </w:rPr>
        <w:t xml:space="preserve">1.95'e</w:t>
      </w:r>
      <w:r>
        <w:t xml:space="preserve"> </w:t>
      </w:r>
      <w:r>
        <w:t xml:space="preserve">inmiştir. Antibiyotik (Klamoks)</w:t>
      </w:r>
      <w:r>
        <w:t xml:space="preserve"> </w:t>
      </w:r>
      <w:r>
        <w:t xml:space="preserve">kürünün 11 Eylül'de bitmesiyle bağırsak florasında K vitamini sentezi yeniden başlamış ve CYP2C9 klirensi</w:t>
      </w:r>
      <w:r>
        <w:t xml:space="preserve"> </w:t>
      </w:r>
      <w:r>
        <w:t xml:space="preserve">toparlanmıştır (Zhang et al., 2011). Tromboemboli riskine karşı sorumlu hekim kontrolünde haftalık kümülatif doz</w:t>
      </w:r>
      <w:r>
        <w:t xml:space="preserve"> </w:t>
      </w:r>
      <w:r>
        <w:rPr>
          <w:b/>
          <w:bCs/>
        </w:rPr>
        <w:t xml:space="preserve">22.5–25 mg/hafta</w:t>
      </w:r>
      <w:r>
        <w:t xml:space="preserve"> </w:t>
      </w:r>
      <w:r>
        <w:t xml:space="preserve">(örneğin 5 gün 1/2 tablet [2.5 mg], 2 gün 1 tam tablet [5 mg] veya hekimce uygun görülen</w:t>
      </w:r>
      <w:r>
        <w:t xml:space="preserve"> </w:t>
      </w:r>
      <w:r>
        <w:t xml:space="preserve">şema) seviyesine titre edilmeli ve 7–10 gün sonra kontrol INR alınmalıdır (Ageno et al., 2012; Praz et al., 2025).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Dilatrend (Karvedilol) 6.25 mg Tablet: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Günde 2 kez 1 tablet (12.5 mg/gün).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Negatif inotrop ve kronotrop etkiyle sol ventrikül sistolik fırlatma gücünü ve kesme</w:t>
      </w:r>
      <w:r>
        <w:t xml:space="preserve"> </w:t>
      </w:r>
      <w:r>
        <w:t xml:space="preserve">gerilimini (dP/dt) baskılama; taşikardiyi önleme (Isselbacher et al., 2022; Melby et al., 2013).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Coversyl (Perindopril Arjinin) 5 mg Tablet: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Günde 1 kez sabah 1 tablet (4 Ağustos'ta başlandı).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Sistemik vasküler rezistansı (SVR) kırarak afterload yükünü düşürme ve arteriyel kan basıncını</w:t>
      </w:r>
      <w:r>
        <w:t xml:space="preserve"> </w:t>
      </w:r>
      <w:r>
        <w:t xml:space="preserve">≤120/80 mmHg bandında stabilize etme (McEvoy et al., 2024).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EcopirinPro (Asetilsalisilik Asit) 81 mg Tablet: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Günde 1 kez 1 tablet (Öğle tok karnına).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Koroner buton reimplantasyon hatları ve 32 mm Dacron greft tromboz profilaksisi (Whitlock et</w:t>
      </w:r>
      <w:r>
        <w:t xml:space="preserve"> </w:t>
      </w:r>
      <w:r>
        <w:t xml:space="preserve">al., 2023). Warfarin ile dual kullanımda majör kanama riski takiplidir.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Panto (Pantoprazol) 40 mg Enterik Tablet: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Günde 1 kez sabah aç karnına (Ferro Sanol'den 1 saat sonra).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Dual antitrombotik (Warfarin + Aspirin) kullanımına bağlı eroziv gastrit, peptik ülser ve</w:t>
      </w:r>
      <w:r>
        <w:t xml:space="preserve"> </w:t>
      </w:r>
      <w:r>
        <w:t xml:space="preserve">majör GİS kanama profilaksisi (Bhatt et al., 2010).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Ferro Sanol Duodenal (Ferröz Glisin Sülfat - 100 mg Fe²⁺) Kapsül: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Günde 1 kez sabah aç karnına (11 Eylül 06:28'de başlandı).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Kullanım Amacı:</w:t>
      </w:r>
      <w:r>
        <w:t xml:space="preserve"> </w:t>
      </w:r>
      <w:r>
        <w:t xml:space="preserve">Ağır mikrositer hipokrom demir eksikliği anemisi (HGB: 9.7 g/dL, Ferritin: 19 µg/L) replasmanı</w:t>
      </w:r>
      <w:r>
        <w:t xml:space="preserve"> </w:t>
      </w:r>
      <w:r>
        <w:t xml:space="preserve">(Camaschella, 2015; Snook et al., 2021). Panto ile 1 saatlik ayrım kuralı titizlikle uygulanmalıdır.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Klamoks BID (Amoksisilin + Klavulanik Asit) 1000 mg Tablet: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Durum:</w:t>
      </w:r>
      <w:r>
        <w:t xml:space="preserve"> </w:t>
      </w:r>
      <w:r>
        <w:t xml:space="preserve">11 Eylül saat 20:59'da 8 günlük kür tamamlanmış ve</w:t>
      </w:r>
      <w:r>
        <w:t xml:space="preserve"> </w:t>
      </w:r>
      <w:r>
        <w:rPr>
          <w:b/>
          <w:bCs/>
        </w:rPr>
        <w:t xml:space="preserve">kesilmiştir</w:t>
      </w:r>
      <w:r>
        <w:t xml:space="preserve"> </w:t>
      </w:r>
      <w:r>
        <w:t xml:space="preserve">(Sonlandırıldı). CRP 5.7 mg/L'ye</w:t>
      </w:r>
      <w:r>
        <w:t xml:space="preserve"> </w:t>
      </w:r>
      <w:r>
        <w:t xml:space="preserve">gerileyerek kür başarısı sağlanmıştır (Horan et al., 2008).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Kapril (Kaptopril) 25 mg Tablet (Gerektiğinde - PRN):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Mevcut Doz:</w:t>
      </w:r>
      <w:r>
        <w:t xml:space="preserve"> </w:t>
      </w:r>
      <w:r>
        <w:t xml:space="preserve">Sistolik Kan Basıncı ≥ 150 mmHg ölçüldüğünde sublingual acil kurtarma ilacı (Mancia et al.,</w:t>
      </w:r>
      <w:r>
        <w:t xml:space="preserve"> </w:t>
      </w:r>
      <w:r>
        <w:t xml:space="preserve">2023).</w:t>
      </w:r>
    </w:p>
    <w:p>
      <w:r>
        <w:pict>
          <v:rect style="width:0;height:1.5pt" o:hralign="center" o:hrstd="t" o:hr="t"/>
        </w:pict>
      </w:r>
    </w:p>
    <w:bookmarkEnd w:id="18"/>
    <w:bookmarkStart w:id="24" w:name="X876a9abf18548b2e41c02617ff705e8fbb8fb21"/>
    <w:p>
      <w:pPr>
        <w:pStyle w:val="Heading2"/>
      </w:pPr>
      <w:r>
        <w:t xml:space="preserve">5. BRANŞ BAZLI ÇOK DİSİPLİNLİ STRATEJİK EYLEM PLANI</w:t>
      </w:r>
    </w:p>
    <w:bookmarkStart w:id="19" w:name="X9e39d19fbdd9e9cc98540a2eff7d22cb97b67b6"/>
    <w:p>
      <w:pPr>
        <w:pStyle w:val="Heading3"/>
      </w:pPr>
      <w:r>
        <w:t xml:space="preserve">1. Kardiyoloji &amp; Hemostaz (En Yüksek Öncelik)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15 Eylül kontrolünde INR 1.95'e gerileyerek 25 mm Carbomedics mekanik aort kapağı koruma koridorunun</w:t>
      </w:r>
      <w:r>
        <w:t xml:space="preserve"> </w:t>
      </w:r>
      <w:r>
        <w:t xml:space="preserve">(2.0–3.0) altına düşmüştür (Praz et al., 2025; Vahanian et al., 2022).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Stratejik Karar:</w:t>
      </w:r>
      <w:r>
        <w:t xml:space="preserve"> </w:t>
      </w:r>
      <w:r>
        <w:t xml:space="preserve">Warfmadin dozu sorumlu hekim kontrolünde</w:t>
      </w:r>
      <w:r>
        <w:t xml:space="preserve"> </w:t>
      </w:r>
      <w:r>
        <w:rPr>
          <w:b/>
          <w:bCs/>
        </w:rPr>
        <w:t xml:space="preserve">20 mg/hf → 22.5–25 mg/hf</w:t>
      </w:r>
      <w:r>
        <w:t xml:space="preserve"> </w:t>
      </w:r>
      <w:r>
        <w:t xml:space="preserve">düzeyine</w:t>
      </w:r>
      <w:r>
        <w:t xml:space="preserve"> </w:t>
      </w:r>
      <w:r>
        <w:t xml:space="preserve">yükseltilmelidir. Beslenmede K vitamini (koyu yeşil yapraklı sebzeler) alımı standardize edilmeli; 22–25 Eylül</w:t>
      </w:r>
      <w:r>
        <w:t xml:space="preserve"> </w:t>
      </w:r>
      <w:r>
        <w:t xml:space="preserve">tarihlerinde kontrol PT/INR çalışılmalıdır (Ageno et al., 2012).</w:t>
      </w:r>
    </w:p>
    <w:bookmarkEnd w:id="19"/>
    <w:bookmarkStart w:id="20" w:name="Xe2e98bcf07b8b3431bf1130ceee5891c5a713f7"/>
    <w:p>
      <w:pPr>
        <w:pStyle w:val="Heading3"/>
      </w:pPr>
      <w:r>
        <w:t xml:space="preserve">2. Hematoloji &amp; Gastroenteroloji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Ağır demir eksikliği anemisi (HGB 9.7 g/dL, Ferritin 19.0 µg/L, Serum Fe 15.0 µg/dL, MCV 76.7 fL) ve</w:t>
      </w:r>
      <w:r>
        <w:t xml:space="preserve"> </w:t>
      </w:r>
      <w:r>
        <w:t xml:space="preserve">kronik PPI kullanımı.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Stratejik Karar:</w:t>
      </w:r>
      <w:r>
        <w:t xml:space="preserve"> </w:t>
      </w:r>
      <w:r>
        <w:t xml:space="preserve">11 Eylül'de başlanan Ferro Sanol Duodenal 100 mg sabah aç karnına, Panto'dan 1 saat önce</w:t>
      </w:r>
      <w:r>
        <w:t xml:space="preserve"> </w:t>
      </w:r>
      <w:r>
        <w:t xml:space="preserve">uygulanmalıdır (Snook et al., 2021). Hastanın geçmiş obstipasyon yatışı nedeniyle barsak pasajı takip edilmelidir. 4</w:t>
      </w:r>
      <w:r>
        <w:t xml:space="preserve"> </w:t>
      </w:r>
      <w:r>
        <w:t xml:space="preserve">hafta sonra kontrol hemogram ve retikülosit yanıtı değerlendirilmeli; Hb artışı &lt; 1.0 g/dL kalırsa veya intolerans</w:t>
      </w:r>
      <w:r>
        <w:t xml:space="preserve"> </w:t>
      </w:r>
      <w:r>
        <w:t xml:space="preserve">gelişirse tek seans</w:t>
      </w:r>
      <w:r>
        <w:t xml:space="preserve"> </w:t>
      </w:r>
      <w:r>
        <w:rPr>
          <w:b/>
          <w:bCs/>
        </w:rPr>
        <w:t xml:space="preserve">İntravenöz Ferrik Karboksimaltoz (Ferinject 1000 mg)</w:t>
      </w:r>
      <w:r>
        <w:t xml:space="preserve"> </w:t>
      </w:r>
      <w:r>
        <w:t xml:space="preserve">infüzyonu planlanmalıdır (Richards et</w:t>
      </w:r>
      <w:r>
        <w:t xml:space="preserve"> </w:t>
      </w:r>
      <w:r>
        <w:t xml:space="preserve">al., 2021; Snook et al., 2021). Dual antitrombotik altında olası mukozal mikrosızıntıları dışlamak üzere 3 ardışık GGK</w:t>
      </w:r>
      <w:r>
        <w:t xml:space="preserve"> </w:t>
      </w:r>
      <w:r>
        <w:t xml:space="preserve">(FIT) testi istenmelidir (Goddard et al., 2011).</w:t>
      </w:r>
    </w:p>
    <w:bookmarkEnd w:id="20"/>
    <w:bookmarkStart w:id="21" w:name="X5b9c3cc7fdd4e12c3674f8164f8b17cad82a5c2"/>
    <w:p>
      <w:pPr>
        <w:pStyle w:val="Heading3"/>
      </w:pPr>
      <w:r>
        <w:t xml:space="preserve">3. Kardiyovasküler Cerrahi &amp; Radyoloji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Arkustan bilateral iliak bifurkasyona dek uzanan patent rezidüel Tip B flebi ve abdominal aort ektazisi</w:t>
      </w:r>
      <w:r>
        <w:t xml:space="preserve"> </w:t>
      </w:r>
      <w:r>
        <w:t xml:space="preserve">(38 mm) takibi.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Stratejik Karar:</w:t>
      </w:r>
      <w:r>
        <w:t xml:space="preserve"> </w:t>
      </w:r>
      <w:r>
        <w:t xml:space="preserve">5 Mayıs 2026 tarihli kontrastlı BT'nin üzerinden 4.4 ay geçmiş olup, Bentall cerrahisi sonrası 6.</w:t>
      </w:r>
      <w:r>
        <w:t xml:space="preserve"> </w:t>
      </w:r>
      <w:r>
        <w:t xml:space="preserve">ayını (208. gün) tamamlayan olguda greft loju stabilitesini, koroner anastomoz hatlarını ve rezidüel diseksiyon lümen</w:t>
      </w:r>
      <w:r>
        <w:t xml:space="preserve"> </w:t>
      </w:r>
      <w:r>
        <w:t xml:space="preserve">çaplarını denetlemek amacıyla</w:t>
      </w:r>
      <w:r>
        <w:t xml:space="preserve"> </w:t>
      </w:r>
      <w:r>
        <w:rPr>
          <w:b/>
          <w:bCs/>
        </w:rPr>
        <w:t xml:space="preserve">Kontrastlı Torakoabdominal BT Anjiyografi</w:t>
      </w:r>
      <w:r>
        <w:t xml:space="preserve"> </w:t>
      </w:r>
      <w:r>
        <w:t xml:space="preserve">randevusu planlanmalıdır (Czerny et al.,</w:t>
      </w:r>
      <w:r>
        <w:t xml:space="preserve"> </w:t>
      </w:r>
      <w:r>
        <w:t xml:space="preserve">2024; Fleischmann et al., 2022).</w:t>
      </w:r>
    </w:p>
    <w:bookmarkEnd w:id="21"/>
    <w:bookmarkStart w:id="22" w:name="Xb254b5ce39206e87639a48b9597cbcd4e664fc2"/>
    <w:p>
      <w:pPr>
        <w:pStyle w:val="Heading3"/>
      </w:pPr>
      <w:r>
        <w:t xml:space="preserve">4. Enfeksiyon Hastalıkları &amp; KVC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Geçirilmiş sternal dehissens ve derin yara enfeksiyonu zemininde mekanik kapak endokarditi riski.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Stratejik Karar:</w:t>
      </w:r>
      <w:r>
        <w:t xml:space="preserve"> </w:t>
      </w:r>
      <w:r>
        <w:t xml:space="preserve">Klamoks kürü sonrasında CRP 5.7 mg/L'ye inmiş ve lökosit 9.01 × 10⁹/L ile normale</w:t>
      </w:r>
      <w:r>
        <w:t xml:space="preserve"> </w:t>
      </w:r>
      <w:r>
        <w:t xml:space="preserve">dönmüştür (Horan et al., 2008). Yara yeri iyileşmesi stabil seyretmektedir. Olası ateş, titreme veya üfürüm saptanması</w:t>
      </w:r>
      <w:r>
        <w:t xml:space="preserve"> </w:t>
      </w:r>
      <w:r>
        <w:t xml:space="preserve">halinde ampirik tedaviye başlanmadan önce 3 set kan kültürü ve TEE ile PKE ekarte edilmelidir (Delgado et al., 2023).</w:t>
      </w:r>
      <w:r>
        <w:t xml:space="preserve"> </w:t>
      </w:r>
      <w:r>
        <w:t xml:space="preserve">Dental girişimler öncesi profilaksi kuralı aksatılmamalıdır.</w:t>
      </w:r>
    </w:p>
    <w:bookmarkEnd w:id="22"/>
    <w:bookmarkStart w:id="23" w:name="Xb77a00a2c8c5b8f90b7c5c1230e81e539ffdf88"/>
    <w:p>
      <w:pPr>
        <w:pStyle w:val="Heading3"/>
      </w:pPr>
      <w:r>
        <w:t xml:space="preserve">5. Önleyici Kardiyoloji &amp; Metabolizma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Total Kolesterol 210 mg/dL ve LDL Kolesterol 141 mg/dL seviyesindedir.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Stratejik Karar:</w:t>
      </w:r>
      <w:r>
        <w:t xml:space="preserve"> </w:t>
      </w:r>
      <w:r>
        <w:t xml:space="preserve">Aort diseksiyonu cerrahisi geçirmiş çok yüksek kardiyovasküler riskli hastada 2019 ESC/EAS</w:t>
      </w:r>
      <w:r>
        <w:t xml:space="preserve"> </w:t>
      </w:r>
      <w:r>
        <w:t xml:space="preserve">kılavuzunun belirlediği hedef LDL &lt; 55 mg/dL ve bazale göre ≥ %50 düşüştür (Mach et al., 2020). Karaciğer</w:t>
      </w:r>
      <w:r>
        <w:t xml:space="preserve"> </w:t>
      </w:r>
      <w:r>
        <w:t xml:space="preserve">enzimleri normal sınırlarda olduğundan (ALT: 14 U/L, AST: 14 U/L), kardiyoloji polikliniğince</w:t>
      </w:r>
      <w:r>
        <w:t xml:space="preserve"> </w:t>
      </w:r>
      <w:r>
        <w:rPr>
          <w:b/>
          <w:bCs/>
        </w:rPr>
        <w:t xml:space="preserve">Atorvastatin 20</w:t>
      </w:r>
      <w:r>
        <w:rPr>
          <w:b/>
          <w:bCs/>
        </w:rPr>
        <w:t xml:space="preserve"> </w:t>
      </w:r>
      <w:r>
        <w:rPr>
          <w:b/>
          <w:bCs/>
        </w:rPr>
        <w:t xml:space="preserve">mg/gün</w:t>
      </w:r>
      <w:r>
        <w:t xml:space="preserve"> </w:t>
      </w:r>
      <w:r>
        <w:t xml:space="preserve">başlanması değerlendirilmelidir.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5" w:name="X105d7dd756681dd19ad96b7d3cc2e6f64079792"/>
    <w:p>
      <w:pPr>
        <w:pStyle w:val="Heading2"/>
      </w:pPr>
      <w:r>
        <w:t xml:space="preserve">6. AKADEMİK VE KLİNİK KAYNAKÇA (APA 7TH EDITION)</w:t>
      </w:r>
    </w:p>
    <w:p>
      <w:pPr>
        <w:pStyle w:val="Compact"/>
        <w:numPr>
          <w:ilvl w:val="0"/>
          <w:numId w:val="1018"/>
        </w:numPr>
      </w:pPr>
      <w:r>
        <w:t xml:space="preserve">Ageno, W., Gallus, A. S., Wittkowsky, A., Crowther, M., Hylek, E. M., &amp; Palareti, G. (2012). Oral anticoagulant</w:t>
      </w:r>
      <w:r>
        <w:t xml:space="preserve"> </w:t>
      </w:r>
      <w:r>
        <w:t xml:space="preserve">therapy: Antithrombotic Therapy and Prevention of Thrombosis, 9th ed: American College of Chest Physicians</w:t>
      </w:r>
      <w:r>
        <w:t xml:space="preserve"> </w:t>
      </w:r>
      <w:r>
        <w:t xml:space="preserve">Evidence-Based Clinical Practice Guidelines.</w:t>
      </w:r>
      <w:r>
        <w:t xml:space="preserve"> </w:t>
      </w:r>
      <w:r>
        <w:rPr>
          <w:i/>
          <w:iCs/>
        </w:rPr>
        <w:t xml:space="preserve">Chest</w:t>
      </w:r>
      <w:r>
        <w:t xml:space="preserve">,</w:t>
      </w:r>
      <w:r>
        <w:t xml:space="preserve"> </w:t>
      </w:r>
      <w:r>
        <w:rPr>
          <w:i/>
          <w:iCs/>
        </w:rPr>
        <w:t xml:space="preserve">141</w:t>
      </w:r>
      <w:r>
        <w:t xml:space="preserve">(2 Suppl),</w:t>
      </w:r>
      <w:r>
        <w:t xml:space="preserve"> </w:t>
      </w:r>
      <w:r>
        <w:t xml:space="preserve">e44S–e88S.</w:t>
      </w:r>
      <w:r>
        <w:t xml:space="preserve"> </w:t>
      </w:r>
      <w:hyperlink r:id="rId25">
        <w:r>
          <w:rPr>
            <w:rStyle w:val="Hyperlink"/>
          </w:rPr>
          <w:t xml:space="preserve">https://doi.org/10.1378/chest.11-2292</w:t>
        </w:r>
      </w:hyperlink>
    </w:p>
    <w:p>
      <w:pPr>
        <w:pStyle w:val="Compact"/>
        <w:numPr>
          <w:ilvl w:val="0"/>
          <w:numId w:val="1018"/>
        </w:numPr>
      </w:pPr>
      <w:r>
        <w:t xml:space="preserve">American Diabetes Association. (2024). Standards of care in diabetes—2024.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(Suppl. 1),</w:t>
      </w:r>
      <w:r>
        <w:t xml:space="preserve"> </w:t>
      </w:r>
      <w:r>
        <w:t xml:space="preserve">S1–S343.</w:t>
      </w:r>
      <w:r>
        <w:t xml:space="preserve"> </w:t>
      </w:r>
      <w:hyperlink r:id="rId26">
        <w:r>
          <w:rPr>
            <w:rStyle w:val="Hyperlink"/>
          </w:rPr>
          <w:t xml:space="preserve">https://doi.org/10.2337/dc24-Sint</w:t>
        </w:r>
      </w:hyperlink>
    </w:p>
    <w:p>
      <w:pPr>
        <w:pStyle w:val="Compact"/>
        <w:numPr>
          <w:ilvl w:val="0"/>
          <w:numId w:val="1018"/>
        </w:numPr>
      </w:pPr>
      <w:r>
        <w:t xml:space="preserve">Bentall, H., &amp; De Bono, A. (1968). A technique for complete replacement of the ascending aorta.</w:t>
      </w:r>
      <w:r>
        <w:t xml:space="preserve"> </w:t>
      </w:r>
      <w:r>
        <w:rPr>
          <w:i/>
          <w:iCs/>
        </w:rPr>
        <w:t xml:space="preserve">Thorax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(4),</w:t>
      </w:r>
      <w:r>
        <w:t xml:space="preserve"> </w:t>
      </w:r>
      <w:r>
        <w:t xml:space="preserve">338–339.</w:t>
      </w:r>
      <w:r>
        <w:t xml:space="preserve"> </w:t>
      </w:r>
      <w:hyperlink r:id="rId27">
        <w:r>
          <w:rPr>
            <w:rStyle w:val="Hyperlink"/>
          </w:rPr>
          <w:t xml:space="preserve">https://doi.org/10.1136/thx.23.4.338</w:t>
        </w:r>
      </w:hyperlink>
    </w:p>
    <w:p>
      <w:pPr>
        <w:pStyle w:val="Compact"/>
        <w:numPr>
          <w:ilvl w:val="0"/>
          <w:numId w:val="1018"/>
        </w:numPr>
      </w:pPr>
      <w:r>
        <w:t xml:space="preserve">Bhatt, D. L., Cryer, B. L., Contant, C. F., Cohen, M., Lanas, A., Schnitzer, T. J., Lapuerta, P., Goldsmith, M. A.,</w:t>
      </w:r>
      <w:r>
        <w:t xml:space="preserve"> </w:t>
      </w:r>
      <w:r>
        <w:t xml:space="preserve">Laine, L., Scirica, B. M., Cannon, C. P., &amp; COGENT Investigators. (2010). Clopidogrel with or without omeprazole in</w:t>
      </w:r>
      <w:r>
        <w:t xml:space="preserve"> </w:t>
      </w:r>
      <w:r>
        <w:t xml:space="preserve">coronary artery disease.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</w:t>
      </w:r>
      <w:r>
        <w:t xml:space="preserve"> </w:t>
      </w:r>
      <w:r>
        <w:rPr>
          <w:i/>
          <w:iCs/>
        </w:rPr>
        <w:t xml:space="preserve">363</w:t>
      </w:r>
      <w:r>
        <w:t xml:space="preserve">(20),</w:t>
      </w:r>
      <w:r>
        <w:t xml:space="preserve"> </w:t>
      </w:r>
      <w:r>
        <w:t xml:space="preserve">1909–1917.</w:t>
      </w:r>
      <w:r>
        <w:t xml:space="preserve"> </w:t>
      </w:r>
      <w:hyperlink r:id="rId28">
        <w:r>
          <w:rPr>
            <w:rStyle w:val="Hyperlink"/>
          </w:rPr>
          <w:t xml:space="preserve">https://doi.org/10.1056/NEJMoa1007964</w:t>
        </w:r>
      </w:hyperlink>
    </w:p>
    <w:p>
      <w:pPr>
        <w:pStyle w:val="Compact"/>
        <w:numPr>
          <w:ilvl w:val="0"/>
          <w:numId w:val="1018"/>
        </w:numPr>
      </w:pPr>
      <w:r>
        <w:t xml:space="preserve">Camaschella, C. (2015). Iron-deficiency anemia.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</w:t>
      </w:r>
      <w:r>
        <w:t xml:space="preserve"> </w:t>
      </w:r>
      <w:r>
        <w:rPr>
          <w:i/>
          <w:iCs/>
        </w:rPr>
        <w:t xml:space="preserve">372</w:t>
      </w:r>
      <w:r>
        <w:t xml:space="preserve">(19),</w:t>
      </w:r>
      <w:r>
        <w:t xml:space="preserve"> </w:t>
      </w:r>
      <w:r>
        <w:t xml:space="preserve">1832–1843.</w:t>
      </w:r>
      <w:r>
        <w:t xml:space="preserve"> </w:t>
      </w:r>
      <w:hyperlink r:id="rId29">
        <w:r>
          <w:rPr>
            <w:rStyle w:val="Hyperlink"/>
          </w:rPr>
          <w:t xml:space="preserve">https://doi.org/10.1056/NEJMra1401038</w:t>
        </w:r>
      </w:hyperlink>
    </w:p>
    <w:p>
      <w:pPr>
        <w:pStyle w:val="Compact"/>
        <w:numPr>
          <w:ilvl w:val="0"/>
          <w:numId w:val="1018"/>
        </w:numPr>
      </w:pPr>
      <w:r>
        <w:t xml:space="preserve">Czerny, M., Grabenwöger, M., Berger, T., Aboyans, V., Della Corte, A., Jassar, A. S., Kallenbach, K., Misfeld, M.,</w:t>
      </w:r>
      <w:r>
        <w:t xml:space="preserve"> </w:t>
      </w:r>
      <w:r>
        <w:t xml:space="preserve">Trimarchi, S., &amp; EACTS/STS Scientific Document Group. (2024). EACTS/STS Guidelines for diagnosing and treating acute</w:t>
      </w:r>
      <w:r>
        <w:t xml:space="preserve"> </w:t>
      </w:r>
      <w:r>
        <w:t xml:space="preserve">and chronic syndromes of the aortic organ.</w:t>
      </w:r>
      <w:r>
        <w:t xml:space="preserve"> </w:t>
      </w:r>
      <w:r>
        <w:rPr>
          <w:i/>
          <w:iCs/>
        </w:rPr>
        <w:t xml:space="preserve">European Journal of Cardio-Thoracic Surgery</w:t>
      </w:r>
      <w:r>
        <w:t xml:space="preserve">,</w:t>
      </w:r>
      <w:r>
        <w:t xml:space="preserve"> </w:t>
      </w:r>
      <w:r>
        <w:rPr>
          <w:i/>
          <w:iCs/>
        </w:rPr>
        <w:t xml:space="preserve">65</w:t>
      </w:r>
      <w:r>
        <w:t xml:space="preserve">(2), Article</w:t>
      </w:r>
      <w:r>
        <w:t xml:space="preserve"> </w:t>
      </w:r>
      <w:r>
        <w:t xml:space="preserve">ezad426.</w:t>
      </w:r>
      <w:r>
        <w:t xml:space="preserve"> </w:t>
      </w:r>
      <w:hyperlink r:id="rId30">
        <w:r>
          <w:rPr>
            <w:rStyle w:val="Hyperlink"/>
          </w:rPr>
          <w:t xml:space="preserve">https://doi.org/10.1093/ejcts/ezad426</w:t>
        </w:r>
      </w:hyperlink>
    </w:p>
    <w:p>
      <w:pPr>
        <w:pStyle w:val="Compact"/>
        <w:numPr>
          <w:ilvl w:val="0"/>
          <w:numId w:val="1018"/>
        </w:numPr>
      </w:pPr>
      <w:r>
        <w:t xml:space="preserve">Delgado, V., Ajmone Marsan, N., de Waha, S., Bonaros, N., Brida, M., Burri, H., Caselli, S., Doenst, T.,</w:t>
      </w:r>
      <w:r>
        <w:t xml:space="preserve"> </w:t>
      </w:r>
      <w:r>
        <w:t xml:space="preserve">Durante-Mangoni, E., Erba, P. A., Frank, D., Gallardo, E., Galiè, N., Habib, G., Lancellotti, P., Lionetti, G.,</w:t>
      </w:r>
      <w:r>
        <w:t xml:space="preserve"> </w:t>
      </w:r>
      <w:r>
        <w:t xml:space="preserve">Mancone, M., Mistiaen, W., Nienaber, C. A., … ESC Scientific Document Group. (2023). 2023 ESC Guidelines for the</w:t>
      </w:r>
      <w:r>
        <w:t xml:space="preserve"> </w:t>
      </w:r>
      <w:r>
        <w:t xml:space="preserve">management of endocarditis.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(39), 3948–4042.</w:t>
      </w:r>
      <w:r>
        <w:t xml:space="preserve"> </w:t>
      </w:r>
      <w:hyperlink r:id="rId31">
        <w:r>
          <w:rPr>
            <w:rStyle w:val="Hyperlink"/>
          </w:rPr>
          <w:t xml:space="preserve">https://doi.org/10.1093/eurheartj/ehad193</w:t>
        </w:r>
      </w:hyperlink>
    </w:p>
    <w:p>
      <w:pPr>
        <w:pStyle w:val="Compact"/>
        <w:numPr>
          <w:ilvl w:val="0"/>
          <w:numId w:val="1018"/>
        </w:numPr>
      </w:pPr>
      <w:r>
        <w:t xml:space="preserve">Evangelista, A., Czerny, M., Teixido-Tura, G., Boccalini, S., &amp; Mastroroberto, P. (2024). Imaging follow-up in</w:t>
      </w:r>
      <w:r>
        <w:t xml:space="preserve"> </w:t>
      </w:r>
      <w:r>
        <w:t xml:space="preserve">chronic aortic syndromes.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(10), 812–828.</w:t>
      </w:r>
      <w:r>
        <w:t xml:space="preserve"> </w:t>
      </w:r>
      <w:hyperlink r:id="rId32">
        <w:r>
          <w:rPr>
            <w:rStyle w:val="Hyperlink"/>
          </w:rPr>
          <w:t xml:space="preserve">https://doi.org/10.1093/eurheartj/ehae014</w:t>
        </w:r>
      </w:hyperlink>
    </w:p>
    <w:p>
      <w:pPr>
        <w:pStyle w:val="Compact"/>
        <w:numPr>
          <w:ilvl w:val="0"/>
          <w:numId w:val="1018"/>
        </w:numPr>
      </w:pPr>
      <w:r>
        <w:t xml:space="preserve">Fleischmann, D., Afifi, R. O., Casanegra, A. I., Elefteriades, J. A., Gleason, T. G., Hanneman, K., Hope, M. D.,</w:t>
      </w:r>
      <w:r>
        <w:t xml:space="preserve"> </w:t>
      </w:r>
      <w:r>
        <w:t xml:space="preserve">Hughes, G. C., Matsumura, J. S., Rylski, B., Trimarchi, S., &amp; American Heart Association Council on Cardiovascular</w:t>
      </w:r>
      <w:r>
        <w:t xml:space="preserve"> </w:t>
      </w:r>
      <w:r>
        <w:t xml:space="preserve">Radiology and Intervention. (2022). Imaging and surveillance of chronic aortic dissection: A scientific statement</w:t>
      </w:r>
      <w:r>
        <w:t xml:space="preserve"> </w:t>
      </w:r>
      <w:r>
        <w:t xml:space="preserve">from the American Heart Association.</w:t>
      </w:r>
      <w:r>
        <w:t xml:space="preserve"> </w:t>
      </w:r>
      <w:r>
        <w:rPr>
          <w:i/>
          <w:iCs/>
        </w:rPr>
        <w:t xml:space="preserve">Circulation: Cardiovascular Imaging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(3), Article</w:t>
      </w:r>
      <w:r>
        <w:t xml:space="preserve"> </w:t>
      </w:r>
      <w:r>
        <w:t xml:space="preserve">e000075.</w:t>
      </w:r>
      <w:r>
        <w:t xml:space="preserve"> </w:t>
      </w:r>
      <w:hyperlink r:id="rId33">
        <w:r>
          <w:rPr>
            <w:rStyle w:val="Hyperlink"/>
          </w:rPr>
          <w:t xml:space="preserve">https://doi.org/10.1161/HCG.0000000000000075</w:t>
        </w:r>
      </w:hyperlink>
    </w:p>
    <w:p>
      <w:pPr>
        <w:pStyle w:val="Compact"/>
        <w:numPr>
          <w:ilvl w:val="0"/>
          <w:numId w:val="1018"/>
        </w:numPr>
      </w:pPr>
      <w:r>
        <w:t xml:space="preserve">Goddard, A. F., James, M. W., McIntyre, A. S., &amp; Scott, B. B. (2011). Guidelines for the management of iron</w:t>
      </w:r>
      <w:r>
        <w:t xml:space="preserve"> </w:t>
      </w:r>
      <w:r>
        <w:t xml:space="preserve">deficiency anaemia.</w:t>
      </w:r>
      <w:r>
        <w:t xml:space="preserve"> </w:t>
      </w:r>
      <w:r>
        <w:rPr>
          <w:i/>
          <w:iCs/>
        </w:rPr>
        <w:t xml:space="preserve">Gut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(10), 1309–1316.</w:t>
      </w:r>
      <w:r>
        <w:t xml:space="preserve"> </w:t>
      </w:r>
      <w:hyperlink r:id="rId34">
        <w:r>
          <w:rPr>
            <w:rStyle w:val="Hyperlink"/>
          </w:rPr>
          <w:t xml:space="preserve">https://doi.org/10.1136/gut.2010.228874</w:t>
        </w:r>
      </w:hyperlink>
    </w:p>
    <w:p>
      <w:pPr>
        <w:pStyle w:val="Compact"/>
        <w:numPr>
          <w:ilvl w:val="0"/>
          <w:numId w:val="1018"/>
        </w:numPr>
      </w:pPr>
      <w:r>
        <w:t xml:space="preserve">Hagan, P. G., Nienaber, C. A., Isselbacher, E. M., Bruckman, D., Karavite, D. J., Russman, P. L., Evangelista, A.,</w:t>
      </w:r>
      <w:r>
        <w:t xml:space="preserve"> </w:t>
      </w:r>
      <w:r>
        <w:t xml:space="preserve">Fattori, R., Suzuki, T., Oh, J. K., Moore, A. G., Malouf, J. F., Pape, L. A., Galla, J. D., Bouchard, D.,</w:t>
      </w:r>
      <w:r>
        <w:t xml:space="preserve"> </w:t>
      </w:r>
      <w:r>
        <w:t xml:space="preserve">Sankaprabhakar, S., Sechtem, U., Llovet, A., Gilon, D., … Eagle, K. A. (2000). The International Registry of Acute</w:t>
      </w:r>
      <w:r>
        <w:t xml:space="preserve"> </w:t>
      </w:r>
      <w:r>
        <w:t xml:space="preserve">Aortic Dissection (IRAD): New insights into an old disease.</w:t>
      </w:r>
      <w:r>
        <w:t xml:space="preserve"> </w:t>
      </w:r>
      <w:r>
        <w:rPr>
          <w:i/>
          <w:iCs/>
        </w:rPr>
        <w:t xml:space="preserve">JAMA</w:t>
      </w:r>
      <w:r>
        <w:t xml:space="preserve">,</w:t>
      </w:r>
      <w:r>
        <w:t xml:space="preserve"> </w:t>
      </w:r>
      <w:r>
        <w:rPr>
          <w:i/>
          <w:iCs/>
        </w:rPr>
        <w:t xml:space="preserve">283</w:t>
      </w:r>
      <w:r>
        <w:t xml:space="preserve">(7),</w:t>
      </w:r>
      <w:r>
        <w:t xml:space="preserve"> </w:t>
      </w:r>
      <w:r>
        <w:t xml:space="preserve">897–903.</w:t>
      </w:r>
      <w:r>
        <w:t xml:space="preserve"> </w:t>
      </w:r>
      <w:hyperlink r:id="rId35">
        <w:r>
          <w:rPr>
            <w:rStyle w:val="Hyperlink"/>
          </w:rPr>
          <w:t xml:space="preserve">https://doi.org/10.1001/jama.283.7.897</w:t>
        </w:r>
      </w:hyperlink>
    </w:p>
    <w:p>
      <w:pPr>
        <w:pStyle w:val="Compact"/>
        <w:numPr>
          <w:ilvl w:val="0"/>
          <w:numId w:val="1018"/>
        </w:numPr>
      </w:pPr>
      <w:r>
        <w:t xml:space="preserve">Horan, T. C., Andrus, M., &amp; Dudeck, M. A. (2008). CDC/NHSN surveillance definition of health care-associated</w:t>
      </w:r>
      <w:r>
        <w:t xml:space="preserve"> </w:t>
      </w:r>
      <w:r>
        <w:t xml:space="preserve">infection and criteria for specific types of infections in the acute care setting.</w:t>
      </w:r>
      <w:r>
        <w:t xml:space="preserve"> </w:t>
      </w:r>
      <w:r>
        <w:rPr>
          <w:i/>
          <w:iCs/>
        </w:rPr>
        <w:t xml:space="preserve">American Journal of Infection</w:t>
      </w:r>
      <w:r>
        <w:rPr>
          <w:i/>
          <w:iCs/>
        </w:rPr>
        <w:t xml:space="preserve"> </w:t>
      </w:r>
      <w:r>
        <w:rPr>
          <w:i/>
          <w:iCs/>
        </w:rPr>
        <w:t xml:space="preserve">Control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(5), 309–332.</w:t>
      </w:r>
      <w:r>
        <w:t xml:space="preserve"> </w:t>
      </w:r>
      <w:hyperlink r:id="rId36">
        <w:r>
          <w:rPr>
            <w:rStyle w:val="Hyperlink"/>
          </w:rPr>
          <w:t xml:space="preserve">https://doi.org/10.1016/j.ajic.2008.03.002</w:t>
        </w:r>
      </w:hyperlink>
    </w:p>
    <w:p>
      <w:pPr>
        <w:pStyle w:val="Compact"/>
        <w:numPr>
          <w:ilvl w:val="0"/>
          <w:numId w:val="1018"/>
        </w:numPr>
      </w:pPr>
      <w:r>
        <w:t xml:space="preserve">Inker, L. A., Eneanya, N. D., Coresh, J., Tighiouart, H., Wang, D., Sang, Y., Crews, D. C., Doria, A., Estrella, M.</w:t>
      </w:r>
      <w:r>
        <w:t xml:space="preserve"> </w:t>
      </w:r>
      <w:r>
        <w:t xml:space="preserve">M., Froissart, M., Grams, M. E., Greene, T., Grubb, A., Gudnason, V., Gutiérrez, O. M., Kalil, R., Karger, A. B.,</w:t>
      </w:r>
      <w:r>
        <w:t xml:space="preserve"> </w:t>
      </w:r>
      <w:r>
        <w:t xml:space="preserve">Mauer, M., Navis, G., … Chronic Kidney Disease Epidemiology Collaboration. (2021). New creatinine- and cystatin</w:t>
      </w:r>
      <w:r>
        <w:t xml:space="preserve"> </w:t>
      </w:r>
      <w:r>
        <w:t xml:space="preserve">C–based equations to estimate GFR without race.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</w:t>
      </w:r>
      <w:r>
        <w:t xml:space="preserve"> </w:t>
      </w:r>
      <w:r>
        <w:rPr>
          <w:i/>
          <w:iCs/>
        </w:rPr>
        <w:t xml:space="preserve">385</w:t>
      </w:r>
      <w:r>
        <w:t xml:space="preserve">(19),</w:t>
      </w:r>
      <w:r>
        <w:t xml:space="preserve"> </w:t>
      </w:r>
      <w:r>
        <w:t xml:space="preserve">1737–1749.</w:t>
      </w:r>
      <w:r>
        <w:t xml:space="preserve"> </w:t>
      </w:r>
      <w:hyperlink r:id="rId37">
        <w:r>
          <w:rPr>
            <w:rStyle w:val="Hyperlink"/>
          </w:rPr>
          <w:t xml:space="preserve">https://doi.org/10.1056/NEJMoa2102953</w:t>
        </w:r>
      </w:hyperlink>
    </w:p>
    <w:p>
      <w:pPr>
        <w:pStyle w:val="Compact"/>
        <w:numPr>
          <w:ilvl w:val="0"/>
          <w:numId w:val="1018"/>
        </w:numPr>
      </w:pPr>
      <w:r>
        <w:t xml:space="preserve">Isselbacher, E. M., Preventza, O., Hamilton Black, J., 3rd, Augoustides, J. G., Beck, A. W., Bolen, M. A.,</w:t>
      </w:r>
      <w:r>
        <w:t xml:space="preserve"> </w:t>
      </w:r>
      <w:r>
        <w:t xml:space="preserve">Braverman, A. C., Bray, B. E., Browne, M. M., Collins, J. D., Coselli, J. S., Desai, N. D., Fischbein, M. P.,</w:t>
      </w:r>
      <w:r>
        <w:t xml:space="preserve"> </w:t>
      </w:r>
      <w:r>
        <w:t xml:space="preserve">Gornik, H. L., Hornick, M. A., Huang, C. C., Johnston, W. F., Kelly, R. F., Klingensmith, N. J., … ACC/AHA Joint</w:t>
      </w:r>
      <w:r>
        <w:t xml:space="preserve"> </w:t>
      </w:r>
      <w:r>
        <w:t xml:space="preserve">Committee on Clinical Practice Guidelines. (2022). 2022 ACC/AHA Guideline for the diagnosis and management of aortic</w:t>
      </w:r>
      <w:r>
        <w:t xml:space="preserve"> </w:t>
      </w:r>
      <w:r>
        <w:t xml:space="preserve">disease.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</w:t>
      </w:r>
      <w:r>
        <w:t xml:space="preserve"> </w:t>
      </w:r>
      <w:r>
        <w:rPr>
          <w:i/>
          <w:iCs/>
        </w:rPr>
        <w:t xml:space="preserve">146</w:t>
      </w:r>
      <w:r>
        <w:t xml:space="preserve">(24), e334–e482.</w:t>
      </w:r>
      <w:r>
        <w:t xml:space="preserve"> </w:t>
      </w:r>
      <w:hyperlink r:id="rId38">
        <w:r>
          <w:rPr>
            <w:rStyle w:val="Hyperlink"/>
          </w:rPr>
          <w:t xml:space="preserve">https://doi.org/10.1161/CIR.0000000000001106</w:t>
        </w:r>
      </w:hyperlink>
    </w:p>
    <w:p>
      <w:pPr>
        <w:pStyle w:val="Compact"/>
        <w:numPr>
          <w:ilvl w:val="0"/>
          <w:numId w:val="1018"/>
        </w:numPr>
      </w:pPr>
      <w:r>
        <w:t xml:space="preserve">Kaul, P. (2017). Sternal reconstruction after post-sternotomy mediastinitis.</w:t>
      </w:r>
      <w:r>
        <w:t xml:space="preserve"> </w:t>
      </w:r>
      <w:r>
        <w:rPr>
          <w:i/>
          <w:iCs/>
        </w:rPr>
        <w:t xml:space="preserve">Journal of Cardiothoracic Surgery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(1), Article 94.</w:t>
      </w:r>
      <w:r>
        <w:t xml:space="preserve"> </w:t>
      </w:r>
      <w:hyperlink r:id="rId39">
        <w:r>
          <w:rPr>
            <w:rStyle w:val="Hyperlink"/>
          </w:rPr>
          <w:t xml:space="preserve">https://doi.org/10.1186/s13019-017-0656-7</w:t>
        </w:r>
      </w:hyperlink>
    </w:p>
    <w:p>
      <w:pPr>
        <w:pStyle w:val="Compact"/>
        <w:numPr>
          <w:ilvl w:val="0"/>
          <w:numId w:val="1018"/>
        </w:numPr>
      </w:pPr>
      <w:r>
        <w:t xml:space="preserve">KDIGO CKD Work Group. (2013). KDIGO 2012 clinical practice guideline for the evaluation and management of chronic</w:t>
      </w:r>
      <w:r>
        <w:t xml:space="preserve"> </w:t>
      </w:r>
      <w:r>
        <w:t xml:space="preserve">kidney disease.</w:t>
      </w:r>
      <w:r>
        <w:t xml:space="preserve"> </w:t>
      </w:r>
      <w:r>
        <w:rPr>
          <w:i/>
          <w:iCs/>
        </w:rPr>
        <w:t xml:space="preserve">Kidney International Supplements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1–150.</w:t>
      </w:r>
      <w:r>
        <w:t xml:space="preserve"> </w:t>
      </w:r>
      <w:hyperlink r:id="rId40">
        <w:r>
          <w:rPr>
            <w:rStyle w:val="Hyperlink"/>
          </w:rPr>
          <w:t xml:space="preserve">https://doi.org/10.1038/kisup.2012.73</w:t>
        </w:r>
      </w:hyperlink>
    </w:p>
    <w:p>
      <w:pPr>
        <w:pStyle w:val="Compact"/>
        <w:numPr>
          <w:ilvl w:val="0"/>
          <w:numId w:val="1018"/>
        </w:numPr>
      </w:pPr>
      <w:r>
        <w:t xml:space="preserve">Lau, C., Gregg, A., Ram, E., Mack, C. A., Krieger, K., Rahouma, M., Gambardella, I., Soletti, G., Jr., Gaudino,</w:t>
      </w:r>
      <w:r>
        <w:t xml:space="preserve"> </w:t>
      </w:r>
      <w:r>
        <w:t xml:space="preserve">M., &amp; Girardi, L. N. (2025). Long-term survival and operative outcomes of the Bentall procedure for aortic root</w:t>
      </w:r>
      <w:r>
        <w:t xml:space="preserve"> </w:t>
      </w:r>
      <w:r>
        <w:t xml:space="preserve">aneurysm, aortic dissection, and endocarditis.</w:t>
      </w:r>
      <w:r>
        <w:t xml:space="preserve"> </w:t>
      </w:r>
      <w:r>
        <w:rPr>
          <w:i/>
          <w:iCs/>
        </w:rPr>
        <w:t xml:space="preserve">The Journal of Thoracic and Cardiovascular Surgery</w:t>
      </w:r>
      <w:r>
        <w:t xml:space="preserve">. Advance online</w:t>
      </w:r>
      <w:r>
        <w:t xml:space="preserve"> </w:t>
      </w:r>
      <w:r>
        <w:t xml:space="preserve">publication.</w:t>
      </w:r>
      <w:r>
        <w:t xml:space="preserve"> </w:t>
      </w:r>
      <w:hyperlink r:id="rId41">
        <w:r>
          <w:rPr>
            <w:rStyle w:val="Hyperlink"/>
          </w:rPr>
          <w:t xml:space="preserve">https://doi.org/10.1016/j.jtcvs.2025.09.018</w:t>
        </w:r>
      </w:hyperlink>
    </w:p>
    <w:p>
      <w:pPr>
        <w:pStyle w:val="Compact"/>
        <w:numPr>
          <w:ilvl w:val="0"/>
          <w:numId w:val="1018"/>
        </w:numPr>
      </w:pPr>
      <w:r>
        <w:t xml:space="preserve">Mach, F., Baigent, C., Catapano, A. L., Koskinas, K. C., Casula, M., Badimon, L., Chapman, M. J., De Backer, G. G.,</w:t>
      </w:r>
      <w:r>
        <w:t xml:space="preserve"> </w:t>
      </w:r>
      <w:r>
        <w:t xml:space="preserve">Delgado, V., Ference, B. A., Graham, I. M., Taskinen, M. R., Tokgözoğlu, L., Vardas, P. E., &amp; ESC Scientific</w:t>
      </w:r>
      <w:r>
        <w:t xml:space="preserve"> </w:t>
      </w:r>
      <w:r>
        <w:t xml:space="preserve">Document Group. (2020). 2019 ESC/EAS Guidelines for the management of dyslipidaemias: Lipid modification to reduce</w:t>
      </w:r>
      <w:r>
        <w:t xml:space="preserve"> </w:t>
      </w:r>
      <w:r>
        <w:t xml:space="preserve">cardiovascular risk.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(1), 111–188.</w:t>
      </w:r>
      <w:r>
        <w:t xml:space="preserve"> </w:t>
      </w:r>
      <w:hyperlink r:id="rId42">
        <w:r>
          <w:rPr>
            <w:rStyle w:val="Hyperlink"/>
          </w:rPr>
          <w:t xml:space="preserve">https://doi.org/10.1093/eurheartj/ehz455</w:t>
        </w:r>
      </w:hyperlink>
    </w:p>
    <w:p>
      <w:pPr>
        <w:pStyle w:val="Compact"/>
        <w:numPr>
          <w:ilvl w:val="0"/>
          <w:numId w:val="1018"/>
        </w:numPr>
      </w:pPr>
      <w:r>
        <w:t xml:space="preserve">Mancia, G., Kreutz, R., Brunström, M., Burnier, M., Grassi, G., Januszewicz, A., Muiesan, M. L., Tsioufis, K.,</w:t>
      </w:r>
      <w:r>
        <w:t xml:space="preserve"> </w:t>
      </w:r>
      <w:r>
        <w:t xml:space="preserve">Agabiti-Rosei, E., Azizi, M., Benetos, A., Borghi, C., Erdine, S., Gerdts, E., Kahan, T., Konradi, A., Coca, A.,</w:t>
      </w:r>
      <w:r>
        <w:t xml:space="preserve"> </w:t>
      </w:r>
      <w:r>
        <w:t xml:space="preserve">McManus, R., Parati, G., … ESH Scientific Council. (2023). 2023 ESH Guidelines for the management of arterial</w:t>
      </w:r>
      <w:r>
        <w:t xml:space="preserve"> </w:t>
      </w:r>
      <w:r>
        <w:t xml:space="preserve">hypertension.</w:t>
      </w:r>
      <w:r>
        <w:t xml:space="preserve"> </w:t>
      </w:r>
      <w:r>
        <w:rPr>
          <w:i/>
          <w:iCs/>
        </w:rPr>
        <w:t xml:space="preserve">Journal of Hypertension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(12), 1874–2071.</w:t>
      </w:r>
      <w:r>
        <w:t xml:space="preserve"> </w:t>
      </w:r>
      <w:hyperlink r:id="rId43">
        <w:r>
          <w:rPr>
            <w:rStyle w:val="Hyperlink"/>
          </w:rPr>
          <w:t xml:space="preserve">https://doi.org/10.1097/HJH.0000000000003480</w:t>
        </w:r>
      </w:hyperlink>
    </w:p>
    <w:p>
      <w:pPr>
        <w:pStyle w:val="Compact"/>
        <w:numPr>
          <w:ilvl w:val="0"/>
          <w:numId w:val="1018"/>
        </w:numPr>
      </w:pPr>
      <w:r>
        <w:t xml:space="preserve">McDonagh, T. A., Metra, M., Adamo, M., Gardner, R. S., Baumbach, A., Böhm, M., Burri, H., Butler, J., Čelutkienė,</w:t>
      </w:r>
      <w:r>
        <w:t xml:space="preserve"> </w:t>
      </w:r>
      <w:r>
        <w:t xml:space="preserve">J., Chioncel, O., Cleland, J. G. F., Coats, A. J. S., Crespo-Leiro, M. G., Farmakis, D., Gilard, M., Heymans, S.,</w:t>
      </w:r>
      <w:r>
        <w:t xml:space="preserve"> </w:t>
      </w:r>
      <w:r>
        <w:t xml:space="preserve">Hoes, A. W., Jaarsma, T., Jankowska, E. A., … ESC Scientific Document Group. (2021). 2021 ESC Guidelines for the</w:t>
      </w:r>
      <w:r>
        <w:t xml:space="preserve"> </w:t>
      </w:r>
      <w:r>
        <w:t xml:space="preserve">diagnosis and treatment of acute and chronic heart failure.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(36),</w:t>
      </w:r>
      <w:r>
        <w:t xml:space="preserve"> </w:t>
      </w:r>
      <w:r>
        <w:t xml:space="preserve">3599–3726.</w:t>
      </w:r>
      <w:r>
        <w:t xml:space="preserve"> </w:t>
      </w:r>
      <w:hyperlink r:id="rId44">
        <w:r>
          <w:rPr>
            <w:rStyle w:val="Hyperlink"/>
          </w:rPr>
          <w:t xml:space="preserve">https://doi.org/10.1093/eurheartj/ehab368</w:t>
        </w:r>
      </w:hyperlink>
    </w:p>
    <w:p>
      <w:pPr>
        <w:pStyle w:val="Compact"/>
        <w:numPr>
          <w:ilvl w:val="0"/>
          <w:numId w:val="1018"/>
        </w:numPr>
      </w:pPr>
      <w:r>
        <w:t xml:space="preserve">McEvoy, J. W., McCarthy, C. P., Bruno, R. M., Brouwers, S., Canavan, M., Ceconi, C., Christodorescu, R. M.,</w:t>
      </w:r>
      <w:r>
        <w:t xml:space="preserve"> </w:t>
      </w:r>
      <w:r>
        <w:t xml:space="preserve">D'Agostino, R. B., Sr., de Simone, G., Ferro, C. J., Gevaert, S., Jordan, J., Kahan, T., Mahfoud, F., McManus, R.</w:t>
      </w:r>
      <w:r>
        <w:t xml:space="preserve"> </w:t>
      </w:r>
      <w:r>
        <w:t xml:space="preserve">J., Moran, A. E., Narkiewicz, K., Nilsson, P. M., Pyörälä, M., … ESC Scientific Document Group. (2024). 2024 ESC</w:t>
      </w:r>
      <w:r>
        <w:t xml:space="preserve"> </w:t>
      </w:r>
      <w:r>
        <w:t xml:space="preserve">Guidelines for the management of elevated blood pressure and hypertension.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(38),</w:t>
      </w:r>
      <w:r>
        <w:t xml:space="preserve"> </w:t>
      </w:r>
      <w:r>
        <w:t xml:space="preserve">3897–3972.</w:t>
      </w:r>
      <w:r>
        <w:t xml:space="preserve"> </w:t>
      </w:r>
      <w:hyperlink r:id="rId45">
        <w:r>
          <w:rPr>
            <w:rStyle w:val="Hyperlink"/>
          </w:rPr>
          <w:t xml:space="preserve">https://doi.org/10.1093/eurheartj/ehae178</w:t>
        </w:r>
      </w:hyperlink>
    </w:p>
    <w:p>
      <w:pPr>
        <w:pStyle w:val="Compact"/>
        <w:numPr>
          <w:ilvl w:val="0"/>
          <w:numId w:val="1018"/>
        </w:numPr>
      </w:pPr>
      <w:r>
        <w:t xml:space="preserve">Melby, S. J., Zierer, A., Damiano, R. J., Jr., &amp; Moon, M. R. (2013). Importance of blood pressure control after</w:t>
      </w:r>
      <w:r>
        <w:t xml:space="preserve"> </w:t>
      </w:r>
      <w:r>
        <w:t xml:space="preserve">repair of acute type A aortic dissection: 25-year follow-up in 252 patients.</w:t>
      </w:r>
      <w:r>
        <w:t xml:space="preserve"> </w:t>
      </w:r>
      <w:r>
        <w:rPr>
          <w:i/>
          <w:iCs/>
        </w:rPr>
        <w:t xml:space="preserve">The Journal of Clinical Hypertension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63–68.</w:t>
      </w:r>
      <w:r>
        <w:t xml:space="preserve"> </w:t>
      </w:r>
      <w:hyperlink r:id="rId46">
        <w:r>
          <w:rPr>
            <w:rStyle w:val="Hyperlink"/>
          </w:rPr>
          <w:t xml:space="preserve">https://doi.org/10.1111/jch.12024</w:t>
        </w:r>
      </w:hyperlink>
    </w:p>
    <w:p>
      <w:pPr>
        <w:pStyle w:val="Compact"/>
        <w:numPr>
          <w:ilvl w:val="0"/>
          <w:numId w:val="1018"/>
        </w:numPr>
      </w:pPr>
      <w:r>
        <w:t xml:space="preserve">Praz, F., Borger, M. A., Vahanian, A., &amp; Prendergast, B. (2025). Clinical decisions in the management of prosthetic</w:t>
      </w:r>
      <w:r>
        <w:t xml:space="preserve"> </w:t>
      </w:r>
      <w:r>
        <w:t xml:space="preserve">heart valves: A contemporary review of thrombosis, bleeding, and anticoagulation stewardship.</w:t>
      </w:r>
      <w:r>
        <w:t xml:space="preserve"> </w:t>
      </w:r>
      <w:r>
        <w:rPr>
          <w:i/>
          <w:iCs/>
        </w:rPr>
        <w:t xml:space="preserve">European Heart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,</w:t>
      </w:r>
      <w:r>
        <w:t xml:space="preserve"> </w:t>
      </w:r>
      <w:r>
        <w:rPr>
          <w:i/>
          <w:iCs/>
        </w:rPr>
        <w:t xml:space="preserve">46</w:t>
      </w:r>
      <w:r>
        <w:t xml:space="preserve">(3), 215–229.</w:t>
      </w:r>
      <w:r>
        <w:t xml:space="preserve"> </w:t>
      </w:r>
      <w:hyperlink r:id="rId47">
        <w:r>
          <w:rPr>
            <w:rStyle w:val="Hyperlink"/>
          </w:rPr>
          <w:t xml:space="preserve">https://doi.org/10.1093/eurheartj/ehae788</w:t>
        </w:r>
      </w:hyperlink>
    </w:p>
    <w:p>
      <w:pPr>
        <w:pStyle w:val="Compact"/>
        <w:numPr>
          <w:ilvl w:val="0"/>
          <w:numId w:val="1018"/>
        </w:numPr>
      </w:pPr>
      <w:r>
        <w:t xml:space="preserve">Richards, T., Baikady, R. R., Clevenger, B., Butcher, A., Abeysiri, S., Chau, M., Macdougall, I. C., Murphy, G. J.,</w:t>
      </w:r>
      <w:r>
        <w:t xml:space="preserve"> </w:t>
      </w:r>
      <w:r>
        <w:t xml:space="preserve">Swart, M., Collier, T., Van Dyck, L., Browne, J., &amp; PREVENTT Investigators. (2021). Preoperative intravenous iron</w:t>
      </w:r>
      <w:r>
        <w:t xml:space="preserve"> </w:t>
      </w:r>
      <w:r>
        <w:t xml:space="preserve">for anaemia in elective major open abdominal surgery (PREVENTT): A randomised, double-blind, controlled trial.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Lancet</w:t>
      </w:r>
      <w:r>
        <w:t xml:space="preserve">,</w:t>
      </w:r>
      <w:r>
        <w:t xml:space="preserve"> </w:t>
      </w:r>
      <w:r>
        <w:rPr>
          <w:i/>
          <w:iCs/>
        </w:rPr>
        <w:t xml:space="preserve">396</w:t>
      </w:r>
      <w:r>
        <w:t xml:space="preserve">(10259), 1353–1361.</w:t>
      </w:r>
      <w:r>
        <w:t xml:space="preserve"> </w:t>
      </w:r>
      <w:hyperlink r:id="rId48">
        <w:r>
          <w:rPr>
            <w:rStyle w:val="Hyperlink"/>
          </w:rPr>
          <w:t xml:space="preserve">https://doi.org/10.1016/S0140-6736(20)31539-7</w:t>
        </w:r>
      </w:hyperlink>
    </w:p>
    <w:p>
      <w:pPr>
        <w:pStyle w:val="Compact"/>
        <w:numPr>
          <w:ilvl w:val="0"/>
          <w:numId w:val="1018"/>
        </w:numPr>
      </w:pPr>
      <w:r>
        <w:t xml:space="preserve">Rosendaal, F. R., Cannegieter, S. C., van der Meer, F. J., &amp; Briët, E. (1993). A method to determine the optimal</w:t>
      </w:r>
      <w:r>
        <w:t xml:space="preserve"> </w:t>
      </w:r>
      <w:r>
        <w:t xml:space="preserve">intensity of oral anticoagulant therapy.</w:t>
      </w:r>
      <w:r>
        <w:t xml:space="preserve"> </w:t>
      </w:r>
      <w:r>
        <w:rPr>
          <w:i/>
          <w:iCs/>
        </w:rPr>
        <w:t xml:space="preserve">Thrombosis and Haemostasis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(3),</w:t>
      </w:r>
      <w:r>
        <w:t xml:space="preserve"> </w:t>
      </w:r>
      <w:r>
        <w:t xml:space="preserve">236–239.</w:t>
      </w:r>
      <w:r>
        <w:t xml:space="preserve"> </w:t>
      </w:r>
      <w:hyperlink r:id="rId49">
        <w:r>
          <w:rPr>
            <w:rStyle w:val="Hyperlink"/>
          </w:rPr>
          <w:t xml:space="preserve">https://doi.org/10.1055/s-0038-1651587</w:t>
        </w:r>
      </w:hyperlink>
    </w:p>
    <w:p>
      <w:pPr>
        <w:pStyle w:val="Compact"/>
        <w:numPr>
          <w:ilvl w:val="0"/>
          <w:numId w:val="1018"/>
        </w:numPr>
      </w:pPr>
      <w:r>
        <w:t xml:space="preserve">Snook, J., Bhala, N., Beales, I. L. P., Cannings, D., Kightley, C., Logan, R. P. H., Pritchard, D. M., Sidhu, R.,</w:t>
      </w:r>
      <w:r>
        <w:t xml:space="preserve"> </w:t>
      </w:r>
      <w:r>
        <w:t xml:space="preserve">Surgenor, S., Thomas, W., Verma, A. M., &amp; Goddard, A. F. (2021). British Society of Gastroenterology guidelines for</w:t>
      </w:r>
      <w:r>
        <w:t xml:space="preserve"> </w:t>
      </w:r>
      <w:r>
        <w:t xml:space="preserve">the management of iron deficiency anaemia in adults.</w:t>
      </w:r>
      <w:r>
        <w:t xml:space="preserve"> </w:t>
      </w:r>
      <w:r>
        <w:rPr>
          <w:i/>
          <w:iCs/>
        </w:rPr>
        <w:t xml:space="preserve">Gut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(11),</w:t>
      </w:r>
      <w:r>
        <w:t xml:space="preserve"> </w:t>
      </w:r>
      <w:r>
        <w:t xml:space="preserve">2030–2051.</w:t>
      </w:r>
      <w:r>
        <w:t xml:space="preserve"> </w:t>
      </w:r>
      <w:hyperlink r:id="rId50">
        <w:r>
          <w:rPr>
            <w:rStyle w:val="Hyperlink"/>
          </w:rPr>
          <w:t xml:space="preserve">https://doi.org/10.1136/gutjnl-2021-325210</w:t>
        </w:r>
      </w:hyperlink>
    </w:p>
    <w:p>
      <w:pPr>
        <w:pStyle w:val="Compact"/>
        <w:numPr>
          <w:ilvl w:val="0"/>
          <w:numId w:val="1018"/>
        </w:numPr>
      </w:pPr>
      <w:r>
        <w:t xml:space="preserve">Vahanian, A., Beyersdorf, F., Praz, F., Milojevic, M., Baldus, S., Bauersachs, J., Capodanno, D., Conradi, L., De</w:t>
      </w:r>
      <w:r>
        <w:t xml:space="preserve"> </w:t>
      </w:r>
      <w:r>
        <w:t xml:space="preserve">Bonis, M., De Paulis, R., Delgado, V., Freemantle, N., Gilard, M., Haugaa, K. H., Jeppsson, A., Jüni, P., Pierard,</w:t>
      </w:r>
      <w:r>
        <w:t xml:space="preserve"> </w:t>
      </w:r>
      <w:r>
        <w:t xml:space="preserve">L., Prendergast, B. D., Sádaba, J. R., … ESC/EACTS Scientific Document Group. (2022). 2021 ESC/EACTS Guidelines for</w:t>
      </w:r>
      <w:r>
        <w:t xml:space="preserve"> </w:t>
      </w:r>
      <w:r>
        <w:t xml:space="preserve">the management of valvular heart disease [2].</w:t>
      </w:r>
      <w:r>
        <w:t xml:space="preserve"> </w:t>
      </w:r>
      <w:r>
        <w:rPr>
          <w:i/>
          <w:iCs/>
        </w:rPr>
        <w:t xml:space="preserve">European Heart Journal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(7),</w:t>
      </w:r>
      <w:r>
        <w:t xml:space="preserve"> </w:t>
      </w:r>
      <w:r>
        <w:t xml:space="preserve">561–632.</w:t>
      </w:r>
      <w:r>
        <w:t xml:space="preserve"> </w:t>
      </w:r>
      <w:hyperlink r:id="rId51">
        <w:r>
          <w:rPr>
            <w:rStyle w:val="Hyperlink"/>
          </w:rPr>
          <w:t xml:space="preserve">https://doi.org/10.1093/eurheartj/ehab395</w:t>
        </w:r>
      </w:hyperlink>
    </w:p>
    <w:p>
      <w:pPr>
        <w:pStyle w:val="Compact"/>
        <w:numPr>
          <w:ilvl w:val="0"/>
          <w:numId w:val="1018"/>
        </w:numPr>
      </w:pPr>
      <w:r>
        <w:t xml:space="preserve">Whitlock, R. P., Sun, J. C., Fremes, S. E., Rubens, F. D., Teoh, K. H., &amp; American College of Chest Physicians.</w:t>
      </w:r>
      <w:r>
        <w:t xml:space="preserve"> </w:t>
      </w:r>
      <w:r>
        <w:t xml:space="preserve">(2023). Antithrombotic and thrombolytic therapy for valvular disease: Antithrombotic Therapy and Prevention of</w:t>
      </w:r>
      <w:r>
        <w:t xml:space="preserve"> </w:t>
      </w:r>
      <w:r>
        <w:t xml:space="preserve">Thrombosis, 9th ed: American College of Chest Physicians Evidence-Based Clinical Practice Guidelines.</w:t>
      </w:r>
      <w:r>
        <w:t xml:space="preserve"> </w:t>
      </w:r>
      <w:r>
        <w:rPr>
          <w:i/>
          <w:iCs/>
        </w:rPr>
        <w:t xml:space="preserve">Chest</w:t>
      </w:r>
      <w:r>
        <w:t xml:space="preserve">,</w:t>
      </w:r>
      <w:r>
        <w:t xml:space="preserve"> </w:t>
      </w:r>
      <w:r>
        <w:rPr>
          <w:i/>
          <w:iCs/>
        </w:rPr>
        <w:t xml:space="preserve">141</w:t>
      </w:r>
      <w:r>
        <w:t xml:space="preserve"> </w:t>
      </w:r>
      <w:r>
        <w:t xml:space="preserve">(2 Suppl), e576S–e600S.</w:t>
      </w:r>
      <w:r>
        <w:t xml:space="preserve"> </w:t>
      </w:r>
      <w:hyperlink r:id="rId52">
        <w:r>
          <w:rPr>
            <w:rStyle w:val="Hyperlink"/>
          </w:rPr>
          <w:t xml:space="preserve">https://doi.org/10.1378/chest.11-2305</w:t>
        </w:r>
      </w:hyperlink>
    </w:p>
    <w:p>
      <w:pPr>
        <w:pStyle w:val="Compact"/>
        <w:numPr>
          <w:ilvl w:val="0"/>
          <w:numId w:val="1018"/>
        </w:numPr>
      </w:pPr>
      <w:r>
        <w:t xml:space="preserve">Wilson, W. R., Gewitz, M., Lockhart, P. B., Bolger, A. F., Cabell, C. H., Leison, K. A., Taubert, K. A., &amp; American</w:t>
      </w:r>
      <w:r>
        <w:t xml:space="preserve"> </w:t>
      </w:r>
      <w:r>
        <w:t xml:space="preserve">Heart Association. (2016). Prevention of infective endocarditis: Guidelines from the American Heart Association.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,</w:t>
      </w:r>
      <w:r>
        <w:t xml:space="preserve"> </w:t>
      </w:r>
      <w:r>
        <w:rPr>
          <w:i/>
          <w:iCs/>
        </w:rPr>
        <w:t xml:space="preserve">116</w:t>
      </w:r>
      <w:r>
        <w:t xml:space="preserve">(15), 1736–1754.</w:t>
      </w:r>
      <w:r>
        <w:t xml:space="preserve"> </w:t>
      </w:r>
      <w:hyperlink r:id="rId53">
        <w:r>
          <w:rPr>
            <w:rStyle w:val="Hyperlink"/>
          </w:rPr>
          <w:t xml:space="preserve">https://doi.org/10.1161/CIRCULATIONAHA.106.183095</w:t>
        </w:r>
      </w:hyperlink>
    </w:p>
    <w:p>
      <w:pPr>
        <w:pStyle w:val="Compact"/>
        <w:numPr>
          <w:ilvl w:val="0"/>
          <w:numId w:val="1018"/>
        </w:numPr>
      </w:pPr>
      <w:r>
        <w:t xml:space="preserve">Zhang, Q., Simoneau, G., Verstuyft, C., Drouet, L., Bal dit Sollier, C., Alvarez, J. C., Rizzo-Padoin, N., Bergmann,</w:t>
      </w:r>
      <w:r>
        <w:t xml:space="preserve"> </w:t>
      </w:r>
      <w:r>
        <w:t xml:space="preserve">J. F., Becquemont, L., &amp; Mouly, S. (2011). Amoxicillin/clavulanic acid–warfarin drug interaction: A randomized</w:t>
      </w:r>
      <w:r>
        <w:t xml:space="preserve"> </w:t>
      </w:r>
      <w:r>
        <w:t xml:space="preserve">controlled trial.</w:t>
      </w:r>
      <w:r>
        <w:t xml:space="preserve"> </w:t>
      </w:r>
      <w:r>
        <w:rPr>
          <w:i/>
          <w:iCs/>
        </w:rPr>
        <w:t xml:space="preserve">British Journal of Clinical Pharmacology</w:t>
      </w:r>
      <w:r>
        <w:t xml:space="preserve">,</w:t>
      </w:r>
      <w:r>
        <w:t xml:space="preserve"> </w:t>
      </w:r>
      <w:r>
        <w:rPr>
          <w:i/>
          <w:iCs/>
        </w:rPr>
        <w:t xml:space="preserve">71</w:t>
      </w:r>
      <w:r>
        <w:t xml:space="preserve">(2),</w:t>
      </w:r>
      <w:r>
        <w:t xml:space="preserve"> </w:t>
      </w:r>
      <w:r>
        <w:t xml:space="preserve">232–236.</w:t>
      </w:r>
      <w:r>
        <w:t xml:space="preserve"> </w:t>
      </w:r>
      <w:hyperlink r:id="rId54">
        <w:r>
          <w:rPr>
            <w:rStyle w:val="Hyperlink"/>
          </w:rPr>
          <w:t xml:space="preserve">https://doi.org/10.1111/j.1365-2125.2010.03824.x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-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doi.org/10.1001/jama.283.7.897" TargetMode="External" /><Relationship Type="http://schemas.openxmlformats.org/officeDocument/2006/relationships/hyperlink" Id="rId48" Target="https://doi.org/10.1016/S0140-6736(20)31539-7" TargetMode="External" /><Relationship Type="http://schemas.openxmlformats.org/officeDocument/2006/relationships/hyperlink" Id="rId36" Target="https://doi.org/10.1016/j.ajic.2008.03.002" TargetMode="External" /><Relationship Type="http://schemas.openxmlformats.org/officeDocument/2006/relationships/hyperlink" Id="rId41" Target="https://doi.org/10.1016/j.jtcvs.2025.09.018" TargetMode="External" /><Relationship Type="http://schemas.openxmlformats.org/officeDocument/2006/relationships/hyperlink" Id="rId40" Target="https://doi.org/10.1038/kisup.2012.73" TargetMode="External" /><Relationship Type="http://schemas.openxmlformats.org/officeDocument/2006/relationships/hyperlink" Id="rId49" Target="https://doi.org/10.1055/s-0038-1651587" TargetMode="External" /><Relationship Type="http://schemas.openxmlformats.org/officeDocument/2006/relationships/hyperlink" Id="rId28" Target="https://doi.org/10.1056/NEJMoa1007964" TargetMode="External" /><Relationship Type="http://schemas.openxmlformats.org/officeDocument/2006/relationships/hyperlink" Id="rId37" Target="https://doi.org/10.1056/NEJMoa2102953" TargetMode="External" /><Relationship Type="http://schemas.openxmlformats.org/officeDocument/2006/relationships/hyperlink" Id="rId29" Target="https://doi.org/10.1056/NEJMra1401038" TargetMode="External" /><Relationship Type="http://schemas.openxmlformats.org/officeDocument/2006/relationships/hyperlink" Id="rId30" Target="https://doi.org/10.1093/ejcts/ezad426" TargetMode="External" /><Relationship Type="http://schemas.openxmlformats.org/officeDocument/2006/relationships/hyperlink" Id="rId44" Target="https://doi.org/10.1093/eurheartj/ehab368" TargetMode="External" /><Relationship Type="http://schemas.openxmlformats.org/officeDocument/2006/relationships/hyperlink" Id="rId51" Target="https://doi.org/10.1093/eurheartj/ehab395" TargetMode="External" /><Relationship Type="http://schemas.openxmlformats.org/officeDocument/2006/relationships/hyperlink" Id="rId31" Target="https://doi.org/10.1093/eurheartj/ehad193" TargetMode="External" /><Relationship Type="http://schemas.openxmlformats.org/officeDocument/2006/relationships/hyperlink" Id="rId32" Target="https://doi.org/10.1093/eurheartj/ehae014" TargetMode="External" /><Relationship Type="http://schemas.openxmlformats.org/officeDocument/2006/relationships/hyperlink" Id="rId45" Target="https://doi.org/10.1093/eurheartj/ehae178" TargetMode="External" /><Relationship Type="http://schemas.openxmlformats.org/officeDocument/2006/relationships/hyperlink" Id="rId47" Target="https://doi.org/10.1093/eurheartj/ehae788" TargetMode="External" /><Relationship Type="http://schemas.openxmlformats.org/officeDocument/2006/relationships/hyperlink" Id="rId42" Target="https://doi.org/10.1093/eurheartj/ehz455" TargetMode="External" /><Relationship Type="http://schemas.openxmlformats.org/officeDocument/2006/relationships/hyperlink" Id="rId43" Target="https://doi.org/10.1097/HJH.0000000000003480" TargetMode="External" /><Relationship Type="http://schemas.openxmlformats.org/officeDocument/2006/relationships/hyperlink" Id="rId54" Target="https://doi.org/10.1111/j.1365-2125.2010.03824.x" TargetMode="External" /><Relationship Type="http://schemas.openxmlformats.org/officeDocument/2006/relationships/hyperlink" Id="rId46" Target="https://doi.org/10.1111/jch.12024" TargetMode="External" /><Relationship Type="http://schemas.openxmlformats.org/officeDocument/2006/relationships/hyperlink" Id="rId34" Target="https://doi.org/10.1136/gut.2010.228874" TargetMode="External" /><Relationship Type="http://schemas.openxmlformats.org/officeDocument/2006/relationships/hyperlink" Id="rId50" Target="https://doi.org/10.1136/gutjnl-2021-325210" TargetMode="External" /><Relationship Type="http://schemas.openxmlformats.org/officeDocument/2006/relationships/hyperlink" Id="rId27" Target="https://doi.org/10.1136/thx.23.4.338" TargetMode="External" /><Relationship Type="http://schemas.openxmlformats.org/officeDocument/2006/relationships/hyperlink" Id="rId38" Target="https://doi.org/10.1161/CIR.0000000000001106" TargetMode="External" /><Relationship Type="http://schemas.openxmlformats.org/officeDocument/2006/relationships/hyperlink" Id="rId53" Target="https://doi.org/10.1161/CIRCULATIONAHA.106.183095" TargetMode="External" /><Relationship Type="http://schemas.openxmlformats.org/officeDocument/2006/relationships/hyperlink" Id="rId33" Target="https://doi.org/10.1161/HCG.0000000000000075" TargetMode="External" /><Relationship Type="http://schemas.openxmlformats.org/officeDocument/2006/relationships/hyperlink" Id="rId39" Target="https://doi.org/10.1186/s13019-017-0656-7" TargetMode="External" /><Relationship Type="http://schemas.openxmlformats.org/officeDocument/2006/relationships/hyperlink" Id="rId25" Target="https://doi.org/10.1378/chest.11-2292" TargetMode="External" /><Relationship Type="http://schemas.openxmlformats.org/officeDocument/2006/relationships/hyperlink" Id="rId52" Target="https://doi.org/10.1378/chest.11-2305" TargetMode="External" /><Relationship Type="http://schemas.openxmlformats.org/officeDocument/2006/relationships/hyperlink" Id="rId26" Target="https://doi.org/10.2337/dc24-S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001/jama.283.7.897" TargetMode="External" /><Relationship Type="http://schemas.openxmlformats.org/officeDocument/2006/relationships/hyperlink" Id="rId48" Target="https://doi.org/10.1016/S0140-6736(20)31539-7" TargetMode="External" /><Relationship Type="http://schemas.openxmlformats.org/officeDocument/2006/relationships/hyperlink" Id="rId36" Target="https://doi.org/10.1016/j.ajic.2008.03.002" TargetMode="External" /><Relationship Type="http://schemas.openxmlformats.org/officeDocument/2006/relationships/hyperlink" Id="rId41" Target="https://doi.org/10.1016/j.jtcvs.2025.09.018" TargetMode="External" /><Relationship Type="http://schemas.openxmlformats.org/officeDocument/2006/relationships/hyperlink" Id="rId40" Target="https://doi.org/10.1038/kisup.2012.73" TargetMode="External" /><Relationship Type="http://schemas.openxmlformats.org/officeDocument/2006/relationships/hyperlink" Id="rId49" Target="https://doi.org/10.1055/s-0038-1651587" TargetMode="External" /><Relationship Type="http://schemas.openxmlformats.org/officeDocument/2006/relationships/hyperlink" Id="rId28" Target="https://doi.org/10.1056/NEJMoa1007964" TargetMode="External" /><Relationship Type="http://schemas.openxmlformats.org/officeDocument/2006/relationships/hyperlink" Id="rId37" Target="https://doi.org/10.1056/NEJMoa2102953" TargetMode="External" /><Relationship Type="http://schemas.openxmlformats.org/officeDocument/2006/relationships/hyperlink" Id="rId29" Target="https://doi.org/10.1056/NEJMra1401038" TargetMode="External" /><Relationship Type="http://schemas.openxmlformats.org/officeDocument/2006/relationships/hyperlink" Id="rId30" Target="https://doi.org/10.1093/ejcts/ezad426" TargetMode="External" /><Relationship Type="http://schemas.openxmlformats.org/officeDocument/2006/relationships/hyperlink" Id="rId44" Target="https://doi.org/10.1093/eurheartj/ehab368" TargetMode="External" /><Relationship Type="http://schemas.openxmlformats.org/officeDocument/2006/relationships/hyperlink" Id="rId51" Target="https://doi.org/10.1093/eurheartj/ehab395" TargetMode="External" /><Relationship Type="http://schemas.openxmlformats.org/officeDocument/2006/relationships/hyperlink" Id="rId31" Target="https://doi.org/10.1093/eurheartj/ehad193" TargetMode="External" /><Relationship Type="http://schemas.openxmlformats.org/officeDocument/2006/relationships/hyperlink" Id="rId32" Target="https://doi.org/10.1093/eurheartj/ehae014" TargetMode="External" /><Relationship Type="http://schemas.openxmlformats.org/officeDocument/2006/relationships/hyperlink" Id="rId45" Target="https://doi.org/10.1093/eurheartj/ehae178" TargetMode="External" /><Relationship Type="http://schemas.openxmlformats.org/officeDocument/2006/relationships/hyperlink" Id="rId47" Target="https://doi.org/10.1093/eurheartj/ehae788" TargetMode="External" /><Relationship Type="http://schemas.openxmlformats.org/officeDocument/2006/relationships/hyperlink" Id="rId42" Target="https://doi.org/10.1093/eurheartj/ehz455" TargetMode="External" /><Relationship Type="http://schemas.openxmlformats.org/officeDocument/2006/relationships/hyperlink" Id="rId43" Target="https://doi.org/10.1097/HJH.0000000000003480" TargetMode="External" /><Relationship Type="http://schemas.openxmlformats.org/officeDocument/2006/relationships/hyperlink" Id="rId54" Target="https://doi.org/10.1111/j.1365-2125.2010.03824.x" TargetMode="External" /><Relationship Type="http://schemas.openxmlformats.org/officeDocument/2006/relationships/hyperlink" Id="rId46" Target="https://doi.org/10.1111/jch.12024" TargetMode="External" /><Relationship Type="http://schemas.openxmlformats.org/officeDocument/2006/relationships/hyperlink" Id="rId34" Target="https://doi.org/10.1136/gut.2010.228874" TargetMode="External" /><Relationship Type="http://schemas.openxmlformats.org/officeDocument/2006/relationships/hyperlink" Id="rId50" Target="https://doi.org/10.1136/gutjnl-2021-325210" TargetMode="External" /><Relationship Type="http://schemas.openxmlformats.org/officeDocument/2006/relationships/hyperlink" Id="rId27" Target="https://doi.org/10.1136/thx.23.4.338" TargetMode="External" /><Relationship Type="http://schemas.openxmlformats.org/officeDocument/2006/relationships/hyperlink" Id="rId38" Target="https://doi.org/10.1161/CIR.0000000000001106" TargetMode="External" /><Relationship Type="http://schemas.openxmlformats.org/officeDocument/2006/relationships/hyperlink" Id="rId53" Target="https://doi.org/10.1161/CIRCULATIONAHA.106.183095" TargetMode="External" /><Relationship Type="http://schemas.openxmlformats.org/officeDocument/2006/relationships/hyperlink" Id="rId33" Target="https://doi.org/10.1161/HCG.0000000000000075" TargetMode="External" /><Relationship Type="http://schemas.openxmlformats.org/officeDocument/2006/relationships/hyperlink" Id="rId39" Target="https://doi.org/10.1186/s13019-017-0656-7" TargetMode="External" /><Relationship Type="http://schemas.openxmlformats.org/officeDocument/2006/relationships/hyperlink" Id="rId25" Target="https://doi.org/10.1378/chest.11-2292" TargetMode="External" /><Relationship Type="http://schemas.openxmlformats.org/officeDocument/2006/relationships/hyperlink" Id="rId52" Target="https://doi.org/10.1378/chest.11-2305" TargetMode="External" /><Relationship Type="http://schemas.openxmlformats.org/officeDocument/2006/relationships/hyperlink" Id="rId26" Target="https://doi.org/10.2337/dc24-S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 3.8 Flash High 360° Klinik Karar Destek Raporu — 16.09.2026</dc:title>
  <dc:creator/>
  <dc:language>tr-TR</dc:language>
  <cp:keywords/>
  <dcterms:created xsi:type="dcterms:W3CDTF">2026-09-16T10:48:13Z</dcterms:created>
  <dcterms:modified xsi:type="dcterms:W3CDTF">2026-09-16T10:48:13Z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