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360° Cerrahi Karar Destek Raporu — DeepSeek V4 Konsültasyonu</w:t>
      </w:r>
    </w:p>
    <w:p>
      <w:pPr>
        <w:pStyle w:val="Author"/>
      </w:pPr>
      <w:r>
        <w:t xml:space="preserve">DeepSeek V4 (Cerrahi Sağkalım &amp; Biyomekanik Aort Analizi)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90f5fd525c77b068de0184a63aafdd0aefe53c4"/>
    <w:p>
      <w:pPr>
        <w:pStyle w:val="Heading1"/>
      </w:pPr>
      <w:r>
        <w:rPr>
          <w:rStyle w:val="SectionNumber"/>
        </w:rPr>
        <w:t xml:space="preserve">1</w:t>
      </w:r>
      <w:r>
        <w:tab/>
      </w:r>
      <w:r>
        <w:t xml:space="preserve">360° Cerrahi Karar Destek ve Biyoistatistik Raporu</w:t>
      </w:r>
    </w:p>
    <w:bookmarkStart w:id="9" w:name="X689907c1349665b87cf6bf65698687cfcbee5c3"/>
    <w:p>
      <w:pPr>
        <w:pStyle w:val="Heading2"/>
      </w:pPr>
      <w:r>
        <w:rPr>
          <w:rStyle w:val="SectionNumber"/>
        </w:rPr>
        <w:t xml:space="preserve">1.1</w:t>
      </w:r>
      <w:r>
        <w:tab/>
      </w:r>
      <w:r>
        <w:t xml:space="preserve">DeepSeek V4 Konsültasyon Konsorsiyumu — Revize Baskı</w:t>
      </w:r>
    </w:p>
    <w:p>
      <w:pPr>
        <w:pStyle w:val="FirstParagraph"/>
      </w:pPr>
      <w:r>
        <w:rPr>
          <w:b/>
          <w:bCs/>
        </w:rPr>
        <w:t xml:space="preserve">Hasta:</w:t>
      </w:r>
      <w:r>
        <w:t xml:space="preserve"> </w:t>
      </w:r>
      <w:r>
        <w:t xml:space="preserve">Alaattin SÖNMEZ (64E, D.T: 01.01.1962, Hatay/Defne, SSK)</w:t>
      </w:r>
      <w:r>
        <w:t xml:space="preserve"> </w:t>
      </w:r>
      <w:r>
        <w:rPr>
          <w:b/>
          <w:bCs/>
        </w:rPr>
        <w:t xml:space="preserve">Rapor Tarihi:</w:t>
      </w:r>
      <w:r>
        <w:t xml:space="preserve"> </w:t>
      </w:r>
      <w:r>
        <w:t xml:space="preserve">16 Eylül 2026 |</w:t>
      </w:r>
      <w:r>
        <w:t xml:space="preserve"> </w:t>
      </w:r>
      <w:r>
        <w:rPr>
          <w:b/>
          <w:bCs/>
        </w:rPr>
        <w:t xml:space="preserve">Postoperatif Gün:</w:t>
      </w:r>
      <w:r>
        <w:t xml:space="preserve"> </w:t>
      </w:r>
      <w:r>
        <w:t xml:space="preserve">208</w:t>
      </w:r>
      <w:r>
        <w:t xml:space="preserve"> </w:t>
      </w:r>
      <w:r>
        <w:rPr>
          <w:b/>
          <w:bCs/>
        </w:rPr>
        <w:t xml:space="preserve">Konsültasyon Modeli:</w:t>
      </w:r>
      <w:r>
        <w:t xml:space="preserve"> </w:t>
      </w:r>
      <w:r>
        <w:t xml:space="preserve">DeepSeek V4 (Cerrahi Sağkalım Epidemiyolojisi &amp; Biyomekanik Aort Analizi)</w:t>
      </w:r>
      <w:r>
        <w:t xml:space="preserve"> </w:t>
      </w:r>
      <w:r>
        <w:rPr>
          <w:b/>
          <w:bCs/>
        </w:rPr>
        <w:t xml:space="preserve">Veri Kaynağı:</w:t>
      </w:r>
      <w:r>
        <w:t xml:space="preserve"> </w:t>
      </w:r>
      <w:r>
        <w:t xml:space="preserve">16 Eylül 2026 tarihli doğrulanmış all-data.json (2.100+ laboratuvar ölçümü, 500 tansiyon, 178 kilo, 67 ilaç değişikliği)</w:t>
      </w:r>
      <w:r>
        <w:t xml:space="preserve"> </w:t>
      </w:r>
      <w:r>
        <w:rPr>
          <w:b/>
          <w:bCs/>
        </w:rPr>
        <w:t xml:space="preserve">Son Laboratuvar:</w:t>
      </w:r>
      <w:r>
        <w:t xml:space="preserve"> </w:t>
      </w:r>
      <w:r>
        <w:t xml:space="preserve">15 Eylül 2026 — Test #93 (Koagülasyon + Hemogram + Biyokimya)</w:t>
      </w:r>
    </w:p>
    <w:p>
      <w:r>
        <w:pict>
          <v:rect style="width:0;height:1.5pt" o:hralign="center" o:hrstd="t" o:hr="t"/>
        </w:pict>
      </w:r>
    </w:p>
    <w:bookmarkEnd w:id="9"/>
    <w:bookmarkStart w:id="12" w:name="X6dfcd5f4bf8c8b913cf6a01fd5145e6562a9ca3"/>
    <w:p>
      <w:pPr>
        <w:pStyle w:val="Heading2"/>
      </w:pPr>
      <w:r>
        <w:rPr>
          <w:rStyle w:val="SectionNumber"/>
        </w:rPr>
        <w:t xml:space="preserve">1.2</w:t>
      </w:r>
      <w:r>
        <w:tab/>
      </w:r>
      <w:r>
        <w:t xml:space="preserve">1. Yönetici Özeti (Executive Summary)</w:t>
      </w:r>
    </w:p>
    <w:p>
      <w:pPr>
        <w:pStyle w:val="FirstParagraph"/>
      </w:pPr>
      <w:r>
        <w:t xml:space="preserve">Alaattin Sönmez, 19 Şubat 2026'da akut Stanford Tip A aort diseksiyonu ve 5.3 cm asendan aort anevrizması tanısıyla Özel İskenderun Gelişim Hastanesi'ne acil sevk edilmiş, 20 Şubat 2026 sabahı derin hipotermik sirkülatuar arrest ve selektif antegrad serebral perfüzyon altında</w:t>
      </w:r>
      <w:r>
        <w:t xml:space="preserve"> </w:t>
      </w:r>
      <w:r>
        <w:rPr>
          <w:b/>
          <w:bCs/>
        </w:rPr>
        <w:t xml:space="preserve">Bentall Prosedürü</w:t>
      </w:r>
      <w:r>
        <w:t xml:space="preserve"> </w:t>
      </w:r>
      <w:r>
        <w:t xml:space="preserve">(32mm Maquet Intergard Dacron greft + 25mm CORCYM Carbomedics mekanik aort kapak + koroner buton reimplantasyonu) ile başarıyla opere edilmiştir (Isselbacher et al., 2022; Lau et al., 2025). Postoperatif 208. günde hasta hemodinamik olarak stabil seyretmekte, ancak</w:t>
      </w:r>
      <w:r>
        <w:t xml:space="preserve"> </w:t>
      </w:r>
      <w:r>
        <w:rPr>
          <w:b/>
          <w:bCs/>
        </w:rPr>
        <w:t xml:space="preserve">dört kritik biyobelirteç başlığı</w:t>
      </w:r>
      <w:r>
        <w:t xml:space="preserve"> </w:t>
      </w:r>
      <w:r>
        <w:t xml:space="preserve">yakın takip gerektirmektedir.</w:t>
      </w:r>
    </w:p>
    <w:bookmarkStart w:id="10" w:name="X7fd467b1f8eec250e049307c80ccfb28cffb192"/>
    <w:p>
      <w:pPr>
        <w:pStyle w:val="Heading3"/>
      </w:pPr>
      <w:r>
        <w:rPr>
          <w:rStyle w:val="SectionNumber"/>
        </w:rPr>
        <w:t xml:space="preserve">1.2.1</w:t>
      </w:r>
      <w:r>
        <w:tab/>
      </w:r>
      <w:r>
        <w:t xml:space="preserve">1.1. Kritik Klinik Göstergeler — 6 KPI Kartı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Parametre</w:t>
            </w:r>
          </w:p>
        </w:tc>
        <w:tc>
          <w:tcPr/>
          <w:p>
            <w:pPr>
              <w:pStyle w:val="Compact"/>
            </w:pPr>
            <w:r>
              <w:t xml:space="preserve">Değer (15.09.2026)</w:t>
            </w:r>
          </w:p>
        </w:tc>
        <w:tc>
          <w:tcPr/>
          <w:p>
            <w:pPr>
              <w:pStyle w:val="Compact"/>
            </w:pPr>
            <w:r>
              <w:t xml:space="preserve">Hedef / Referans</w:t>
            </w:r>
          </w:p>
        </w:tc>
        <w:tc>
          <w:tcPr/>
          <w:p>
            <w:pPr>
              <w:pStyle w:val="Compact"/>
            </w:pPr>
            <w:r>
              <w:t xml:space="preserve">Durum</w:t>
            </w:r>
          </w:p>
        </w:tc>
        <w:tc>
          <w:tcPr/>
          <w:p>
            <w:pPr>
              <w:pStyle w:val="Compact"/>
            </w:pPr>
            <w:r>
              <w:t xml:space="preserve">Kaynak</w:t>
            </w:r>
          </w:p>
        </w:tc>
      </w:tr>
      <w:tr>
        <w:tc>
          <w:tcPr/>
          <w:p>
            <w:pPr>
              <w:pStyle w:val="Compact"/>
            </w:pPr>
            <w:r>
              <w:t xml:space="preserve">1</w:t>
            </w:r>
          </w:p>
        </w:tc>
        <w:tc>
          <w:tcPr/>
          <w:p>
            <w:pPr>
              <w:pStyle w:val="Compact"/>
            </w:pPr>
            <w:r>
              <w:rPr>
                <w:b/>
                <w:bCs/>
              </w:rPr>
              <w:t xml:space="preserve">Kan Basıncı (7G Ort.)</w:t>
            </w:r>
          </w:p>
        </w:tc>
        <w:tc>
          <w:tcPr/>
          <w:p>
            <w:pPr>
              <w:pStyle w:val="Compact"/>
            </w:pPr>
            <w:r>
              <w:rPr>
                <w:b/>
                <w:bCs/>
              </w:rPr>
              <w:t xml:space="preserve">113/75 mmHg</w:t>
            </w:r>
          </w:p>
        </w:tc>
        <w:tc>
          <w:tcPr/>
          <w:p>
            <w:pPr>
              <w:pStyle w:val="Compact"/>
            </w:pPr>
            <w:r>
              <w:t xml:space="preserve">≤120/80 mmHg</w:t>
            </w:r>
          </w:p>
        </w:tc>
        <w:tc>
          <w:tcPr/>
          <w:p>
            <w:pPr>
              <w:pStyle w:val="Compact"/>
            </w:pPr>
            <w:r>
              <w:t xml:space="preserve">✅ Hedefte</w:t>
            </w:r>
          </w:p>
        </w:tc>
        <w:tc>
          <w:tcPr/>
          <w:p>
            <w:pPr>
              <w:pStyle w:val="Compact"/>
            </w:pPr>
            <w:r>
              <w:t xml:space="preserve">McEvoy et al. (2024)</w:t>
            </w:r>
          </w:p>
        </w:tc>
      </w:tr>
      <w:tr>
        <w:tc>
          <w:tcPr/>
          <w:p>
            <w:pPr>
              <w:pStyle w:val="Compact"/>
            </w:pPr>
            <w:r>
              <w:t xml:space="preserve">2</w:t>
            </w:r>
          </w:p>
        </w:tc>
        <w:tc>
          <w:tcPr/>
          <w:p>
            <w:pPr>
              <w:pStyle w:val="Compact"/>
            </w:pPr>
            <w:r>
              <w:rPr>
                <w:b/>
                <w:bCs/>
              </w:rPr>
              <w:t xml:space="preserve">INR</w:t>
            </w:r>
          </w:p>
        </w:tc>
        <w:tc>
          <w:tcPr/>
          <w:p>
            <w:pPr>
              <w:pStyle w:val="Compact"/>
            </w:pPr>
            <w:r>
              <w:rPr>
                <w:b/>
                <w:bCs/>
              </w:rPr>
              <w:t xml:space="preserve">1.95</w:t>
            </w:r>
          </w:p>
        </w:tc>
        <w:tc>
          <w:tcPr/>
          <w:p>
            <w:pPr>
              <w:pStyle w:val="Compact"/>
            </w:pPr>
            <w:r>
              <w:t xml:space="preserve">2.0–3.0 (mekanik kapak)</w:t>
            </w:r>
          </w:p>
        </w:tc>
        <w:tc>
          <w:tcPr/>
          <w:p>
            <w:pPr>
              <w:pStyle w:val="Compact"/>
            </w:pPr>
            <w:r>
              <w:t xml:space="preserve">⚠️</w:t>
            </w:r>
            <w:r>
              <w:t xml:space="preserve"> </w:t>
            </w:r>
            <w:r>
              <w:rPr>
                <w:b/>
                <w:bCs/>
              </w:rPr>
              <w:t xml:space="preserve">Hedef Altı</w:t>
            </w:r>
          </w:p>
        </w:tc>
        <w:tc>
          <w:tcPr/>
          <w:p>
            <w:pPr>
              <w:pStyle w:val="Compact"/>
            </w:pPr>
            <w:r>
              <w:t xml:space="preserve">Vahanian et al. (2022)</w:t>
            </w:r>
          </w:p>
        </w:tc>
      </w:tr>
      <w:tr>
        <w:tc>
          <w:tcPr/>
          <w:p>
            <w:pPr>
              <w:pStyle w:val="Compact"/>
            </w:pPr>
            <w:r>
              <w:t xml:space="preserve">3</w:t>
            </w:r>
          </w:p>
        </w:tc>
        <w:tc>
          <w:tcPr/>
          <w:p>
            <w:pPr>
              <w:pStyle w:val="Compact"/>
            </w:pPr>
            <w:r>
              <w:rPr>
                <w:b/>
                <w:bCs/>
              </w:rPr>
              <w:t xml:space="preserve">Hemoglobin (HGB)</w:t>
            </w:r>
          </w:p>
        </w:tc>
        <w:tc>
          <w:tcPr/>
          <w:p>
            <w:pPr>
              <w:pStyle w:val="Compact"/>
            </w:pPr>
            <w:r>
              <w:rPr>
                <w:b/>
                <w:bCs/>
              </w:rPr>
              <w:t xml:space="preserve">9.7 g/dL</w:t>
            </w:r>
          </w:p>
        </w:tc>
        <w:tc>
          <w:tcPr/>
          <w:p>
            <w:pPr>
              <w:pStyle w:val="Compact"/>
            </w:pPr>
            <w:r>
              <w:t xml:space="preserve">13.4–17.6 g/dL</w:t>
            </w:r>
          </w:p>
        </w:tc>
        <w:tc>
          <w:tcPr/>
          <w:p>
            <w:pPr>
              <w:pStyle w:val="Compact"/>
            </w:pPr>
            <w:r>
              <w:t xml:space="preserve">⚠️ Ağır Anemi</w:t>
            </w:r>
          </w:p>
        </w:tc>
        <w:tc>
          <w:tcPr/>
          <w:p>
            <w:pPr>
              <w:pStyle w:val="Compact"/>
            </w:pPr>
            <w:r>
              <w:t xml:space="preserve">Snook et al. (2021)</w:t>
            </w:r>
          </w:p>
        </w:tc>
      </w:tr>
      <w:tr>
        <w:tc>
          <w:tcPr/>
          <w:p>
            <w:pPr>
              <w:pStyle w:val="Compact"/>
            </w:pPr>
            <w:r>
              <w:t xml:space="preserve">4</w:t>
            </w:r>
          </w:p>
        </w:tc>
        <w:tc>
          <w:tcPr/>
          <w:p>
            <w:pPr>
              <w:pStyle w:val="Compact"/>
            </w:pPr>
            <w:r>
              <w:rPr>
                <w:b/>
                <w:bCs/>
              </w:rPr>
              <w:t xml:space="preserve">Ferritin</w:t>
            </w:r>
          </w:p>
        </w:tc>
        <w:tc>
          <w:tcPr/>
          <w:p>
            <w:pPr>
              <w:pStyle w:val="Compact"/>
            </w:pPr>
            <w:r>
              <w:rPr>
                <w:b/>
                <w:bCs/>
              </w:rPr>
              <w:t xml:space="preserve">19.0 µg/L</w:t>
            </w:r>
          </w:p>
        </w:tc>
        <w:tc>
          <w:tcPr/>
          <w:p>
            <w:pPr>
              <w:pStyle w:val="Compact"/>
            </w:pPr>
            <w:r>
              <w:t xml:space="preserve">30–400 µg/L</w:t>
            </w:r>
          </w:p>
        </w:tc>
        <w:tc>
          <w:tcPr/>
          <w:p>
            <w:pPr>
              <w:pStyle w:val="Compact"/>
            </w:pPr>
            <w:r>
              <w:t xml:space="preserve">⚠️ Depolar Tükendi</w:t>
            </w:r>
          </w:p>
        </w:tc>
        <w:tc>
          <w:tcPr/>
          <w:p>
            <w:pPr>
              <w:pStyle w:val="Compact"/>
            </w:pPr>
            <w:r>
              <w:t xml:space="preserve">Camaschella (2015)</w:t>
            </w:r>
          </w:p>
        </w:tc>
      </w:tr>
      <w:tr>
        <w:tc>
          <w:tcPr/>
          <w:p>
            <w:pPr>
              <w:pStyle w:val="Compact"/>
            </w:pPr>
            <w:r>
              <w:t xml:space="preserve">5</w:t>
            </w:r>
          </w:p>
        </w:tc>
        <w:tc>
          <w:tcPr/>
          <w:p>
            <w:pPr>
              <w:pStyle w:val="Compact"/>
            </w:pPr>
            <w:r>
              <w:rPr>
                <w:b/>
                <w:bCs/>
              </w:rPr>
              <w:t xml:space="preserve">CRP</w:t>
            </w:r>
          </w:p>
        </w:tc>
        <w:tc>
          <w:tcPr/>
          <w:p>
            <w:pPr>
              <w:pStyle w:val="Compact"/>
            </w:pPr>
            <w:r>
              <w:rPr>
                <w:b/>
                <w:bCs/>
              </w:rPr>
              <w:t xml:space="preserve">5.7 mg/L</w:t>
            </w:r>
          </w:p>
        </w:tc>
        <w:tc>
          <w:tcPr/>
          <w:p>
            <w:pPr>
              <w:pStyle w:val="Compact"/>
            </w:pPr>
            <w:r>
              <w:t xml:space="preserve">0–5.0 mg/L</w:t>
            </w:r>
          </w:p>
        </w:tc>
        <w:tc>
          <w:tcPr/>
          <w:p>
            <w:pPr>
              <w:pStyle w:val="Compact"/>
            </w:pPr>
            <w:r>
              <w:t xml:space="preserve">✅ Normale Döndü</w:t>
            </w:r>
          </w:p>
        </w:tc>
        <w:tc>
          <w:tcPr/>
          <w:p>
            <w:pPr>
              <w:pStyle w:val="Compact"/>
            </w:pPr>
            <w:r>
              <w:t xml:space="preserve">Horan et al. (2008)</w:t>
            </w:r>
          </w:p>
        </w:tc>
      </w:tr>
      <w:tr>
        <w:tc>
          <w:tcPr/>
          <w:p>
            <w:pPr>
              <w:pStyle w:val="Compact"/>
            </w:pPr>
            <w:r>
              <w:t xml:space="preserve">6</w:t>
            </w:r>
          </w:p>
        </w:tc>
        <w:tc>
          <w:tcPr/>
          <w:p>
            <w:pPr>
              <w:pStyle w:val="Compact"/>
            </w:pPr>
            <w:r>
              <w:rPr>
                <w:b/>
                <w:bCs/>
              </w:rPr>
              <w:t xml:space="preserve">Vücut Ağırlığı</w:t>
            </w:r>
          </w:p>
        </w:tc>
        <w:tc>
          <w:tcPr/>
          <w:p>
            <w:pPr>
              <w:pStyle w:val="Compact"/>
            </w:pPr>
            <w:r>
              <w:rPr>
                <w:b/>
                <w:bCs/>
              </w:rPr>
              <w:t xml:space="preserve">78.9 kg</w:t>
            </w:r>
          </w:p>
        </w:tc>
        <w:tc>
          <w:tcPr/>
          <w:p>
            <w:pPr>
              <w:pStyle w:val="Compact"/>
            </w:pPr>
            <w:r>
              <w:t xml:space="preserve">Stabil (±0.5 kg/hafta)</w:t>
            </w:r>
          </w:p>
        </w:tc>
        <w:tc>
          <w:tcPr/>
          <w:p>
            <w:pPr>
              <w:pStyle w:val="Compact"/>
            </w:pPr>
            <w:r>
              <w:t xml:space="preserve">✅ Ödem Negatif</w:t>
            </w:r>
          </w:p>
        </w:tc>
        <w:tc>
          <w:tcPr/>
          <w:p>
            <w:pPr>
              <w:pStyle w:val="Compact"/>
            </w:pPr>
            <w:r>
              <w:t xml:space="preserve">McDonagh et al. (2021)</w:t>
            </w:r>
          </w:p>
        </w:tc>
      </w:tr>
    </w:tbl>
    <w:bookmarkEnd w:id="10"/>
    <w:bookmarkStart w:id="11" w:name="X7092db7c168f95e26707602aae8bb759ee7722b"/>
    <w:p>
      <w:pPr>
        <w:pStyle w:val="Heading3"/>
      </w:pPr>
      <w:r>
        <w:rPr>
          <w:rStyle w:val="SectionNumber"/>
        </w:rPr>
        <w:t xml:space="preserve">1.2.2</w:t>
      </w:r>
      <w:r>
        <w:tab/>
      </w:r>
      <w:r>
        <w:t xml:space="preserve">1.2. Günün İki Kritik Kararı</w:t>
      </w:r>
    </w:p>
    <w:p>
      <w:pPr>
        <w:pStyle w:val="FirstParagraph"/>
      </w:pPr>
      <w:r>
        <w:rPr>
          <w:b/>
          <w:bCs/>
        </w:rPr>
        <w:t xml:space="preserve">Karar 1 — Warfarin Doz Titrasyonu (24 saat içinde):</w:t>
      </w:r>
      <w:r>
        <w:t xml:space="preserve"> </w:t>
      </w:r>
      <w:r>
        <w:t xml:space="preserve">INR 1.95 değeri, 25mm mekanik Carbomedics kapağı için tanımlı terapötik koridorun (2.0–3.0) altına düşmüştür. Klamoks kürü 11 Eylül'de sonlanmış, bağırsak florası ve CYP2C9 kaynaklı metabolik dalgalanma ortadan kalkmıştır (Zhang et al., 2011).</w:t>
      </w:r>
      <w:r>
        <w:t xml:space="preserve"> </w:t>
      </w:r>
      <w:r>
        <w:rPr>
          <w:b/>
          <w:bCs/>
        </w:rPr>
        <w:t xml:space="preserve">Warfmadin haftalık dozu 20 mg → 22.5–25 mg'a yükseltilmeli; kontrol INR 7–10 gün içinde (en geç 23–26 Eylül 2026) alınmalıdır.</w:t>
      </w:r>
    </w:p>
    <w:p>
      <w:pPr>
        <w:pStyle w:val="BodyText"/>
      </w:pPr>
      <w:r>
        <w:rPr>
          <w:b/>
          <w:bCs/>
        </w:rPr>
        <w:t xml:space="preserve">Karar 2 — 6. Ay Kontrol Torakoabdominal BT Anjiyografi Planı:</w:t>
      </w:r>
      <w:r>
        <w:t xml:space="preserve"> </w:t>
      </w:r>
      <w:r>
        <w:t xml:space="preserve">Son kontrastlı aortik görüntüleme 5 Mayıs 2026 tarihlidir (4.4 ay önce). Kılavuzlar Bentall sonrası distal rezidüel diseksiyon flebi için</w:t>
      </w:r>
      <w:r>
        <w:t xml:space="preserve"> </w:t>
      </w:r>
      <w:r>
        <w:rPr>
          <w:b/>
          <w:bCs/>
        </w:rPr>
        <w:t xml:space="preserve">6. ay kontrastlı BT veya MR anjiyografi</w:t>
      </w:r>
      <w:r>
        <w:t xml:space="preserve"> </w:t>
      </w:r>
      <w:r>
        <w:t xml:space="preserve">önermektedir (Czerny et al., 2024; Fleischmann et al., 2022). İnen aorta (39mm), abdominal aorta (38mm) ve iliak bifurkasyon uzanımı yeniden ölçülmelidir.</w:t>
      </w:r>
    </w:p>
    <w:p>
      <w:r>
        <w:pict>
          <v:rect style="width:0;height:1.5pt" o:hralign="center" o:hrstd="t" o:hr="t"/>
        </w:pict>
      </w:r>
    </w:p>
    <w:bookmarkEnd w:id="11"/>
    <w:bookmarkEnd w:id="12"/>
    <w:bookmarkStart w:id="16" w:name="Xf7ee6ef75cf5d3f3de657c231bbb31a93983035"/>
    <w:p>
      <w:pPr>
        <w:pStyle w:val="Heading2"/>
      </w:pPr>
      <w:r>
        <w:rPr>
          <w:rStyle w:val="SectionNumber"/>
        </w:rPr>
        <w:t xml:space="preserve">1.3</w:t>
      </w:r>
      <w:r>
        <w:tab/>
      </w:r>
      <w:r>
        <w:t xml:space="preserve">2. Aortik Biyomekanik ve Cerrahi Sağkalım Analizi</w:t>
      </w:r>
    </w:p>
    <w:bookmarkStart w:id="13" w:name="X30626d0d1fd4e9f22bc99bd328e9aeb38208fbd"/>
    <w:p>
      <w:pPr>
        <w:pStyle w:val="Heading3"/>
      </w:pPr>
      <w:r>
        <w:rPr>
          <w:rStyle w:val="SectionNumber"/>
        </w:rPr>
        <w:t xml:space="preserve">1.3.1</w:t>
      </w:r>
      <w:r>
        <w:tab/>
      </w:r>
      <w:r>
        <w:t xml:space="preserve">2.1. Bentall Prosedürü — 10 Yıllık Epidemiolojik Beklenti</w:t>
      </w:r>
    </w:p>
    <w:p>
      <w:pPr>
        <w:pStyle w:val="FirstParagraph"/>
      </w:pPr>
      <w:r>
        <w:t xml:space="preserve">Akut Tip A aort diseksiyonu zemininde uygulanan Bentall prosedürünün (kompozit greft + mekanik kapak + koroner reimplantasyon) kohort verileri üç katmanda değerlendirilir (Lau et al., 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Kohort / Durum</w:t>
            </w:r>
          </w:p>
        </w:tc>
        <w:tc>
          <w:tcPr/>
          <w:p>
            <w:pPr>
              <w:pStyle w:val="Compact"/>
            </w:pPr>
            <w:r>
              <w:t xml:space="preserve">Operatif Mortalite</w:t>
            </w:r>
          </w:p>
        </w:tc>
        <w:tc>
          <w:tcPr/>
          <w:p>
            <w:pPr>
              <w:pStyle w:val="Compact"/>
            </w:pPr>
            <w:r>
              <w:t xml:space="preserve">10 Yıllık Sağkalım</w:t>
            </w:r>
          </w:p>
        </w:tc>
        <w:tc>
          <w:tcPr/>
          <w:p>
            <w:pPr>
              <w:pStyle w:val="Compact"/>
            </w:pPr>
            <w:r>
              <w:t xml:space="preserve">Yorum</w:t>
            </w:r>
          </w:p>
        </w:tc>
      </w:tr>
      <w:tr>
        <w:tc>
          <w:tcPr/>
          <w:p>
            <w:pPr>
              <w:pStyle w:val="Compact"/>
            </w:pPr>
            <w:r>
              <w:t xml:space="preserve">Malperfüzyonsuz Tip A</w:t>
            </w:r>
          </w:p>
        </w:tc>
        <w:tc>
          <w:tcPr/>
          <w:p>
            <w:pPr>
              <w:pStyle w:val="Compact"/>
            </w:pPr>
            <w:r>
              <w:rPr>
                <w:b/>
                <w:bCs/>
              </w:rPr>
              <w:t xml:space="preserve">%5.7</w:t>
            </w:r>
          </w:p>
        </w:tc>
        <w:tc>
          <w:tcPr/>
          <w:p>
            <w:pPr>
              <w:pStyle w:val="Compact"/>
            </w:pPr>
            <w:r>
              <w:t xml:space="preserve">%83.7</w:t>
            </w:r>
          </w:p>
        </w:tc>
        <w:tc>
          <w:tcPr/>
          <w:p>
            <w:pPr>
              <w:pStyle w:val="Compact"/>
            </w:pPr>
            <w:r>
              <w:t xml:space="preserve">Hastamız bu grupta değerlendirilmektedir (nörolojik sekelsiz, viseral iskemi yok)</w:t>
            </w:r>
          </w:p>
        </w:tc>
      </w:tr>
      <w:tr>
        <w:tc>
          <w:tcPr/>
          <w:p>
            <w:pPr>
              <w:pStyle w:val="Compact"/>
            </w:pPr>
            <w:r>
              <w:t xml:space="preserve">Malperfüzyonlu Tip A</w:t>
            </w:r>
          </w:p>
        </w:tc>
        <w:tc>
          <w:tcPr/>
          <w:p>
            <w:pPr>
              <w:pStyle w:val="Compact"/>
            </w:pPr>
            <w:r>
              <w:rPr>
                <w:b/>
                <w:bCs/>
              </w:rPr>
              <w:t xml:space="preserve">%21.5</w:t>
            </w:r>
          </w:p>
        </w:tc>
        <w:tc>
          <w:tcPr/>
          <w:p>
            <w:pPr>
              <w:pStyle w:val="Compact"/>
            </w:pPr>
            <w:r>
              <w:t xml:space="preserve">%67.0</w:t>
            </w:r>
          </w:p>
        </w:tc>
        <w:tc>
          <w:tcPr/>
          <w:p>
            <w:pPr>
              <w:pStyle w:val="Compact"/>
            </w:pPr>
            <w:r>
              <w:t xml:space="preserve">Hastamızda malperfüzyon kliniği hiç gelişmemiştir</w:t>
            </w:r>
          </w:p>
        </w:tc>
      </w:tr>
      <w:tr>
        <w:tc>
          <w:tcPr/>
          <w:p>
            <w:pPr>
              <w:pStyle w:val="Compact"/>
            </w:pPr>
            <w:r>
              <w:t xml:space="preserve">İzole anevrizma (elektif)</w:t>
            </w:r>
          </w:p>
        </w:tc>
        <w:tc>
          <w:tcPr/>
          <w:p>
            <w:pPr>
              <w:pStyle w:val="Compact"/>
            </w:pPr>
            <w:r>
              <w:t xml:space="preserve">%1.8–%3.2</w:t>
            </w:r>
          </w:p>
        </w:tc>
        <w:tc>
          <w:tcPr/>
          <w:p>
            <w:pPr>
              <w:pStyle w:val="Compact"/>
            </w:pPr>
            <w:r>
              <w:t xml:space="preserve">%85–%92</w:t>
            </w:r>
          </w:p>
        </w:tc>
        <w:tc>
          <w:tcPr/>
          <w:p>
            <w:pPr>
              <w:pStyle w:val="Compact"/>
            </w:pPr>
            <w:r>
              <w:t xml:space="preserve">Acil diseksiyon olgularında prognoz belirgin olarak daha düşüktür</w:t>
            </w:r>
          </w:p>
        </w:tc>
      </w:tr>
    </w:tbl>
    <w:p>
      <w:pPr>
        <w:pStyle w:val="BodyText"/>
      </w:pPr>
      <w:r>
        <w:rPr>
          <w:b/>
          <w:bCs/>
        </w:rPr>
        <w:t xml:space="preserve">Klinik Yorum:</w:t>
      </w:r>
      <w:r>
        <w:t xml:space="preserve"> </w:t>
      </w:r>
      <w:r>
        <w:t xml:space="preserve">Hastamız, intraoperatif selektif antegrad serebral perfüzyonun başarıyla uygulandığı, sağ brakiyal arter ve sağ CCA kanülasyonlarının primer onarıldığı, postoperatif dönemde ise</w:t>
      </w:r>
      <w:r>
        <w:t xml:space="preserve"> </w:t>
      </w:r>
      <w:r>
        <w:rPr>
          <w:b/>
          <w:bCs/>
        </w:rPr>
        <w:t xml:space="preserve">hiçbir nörolojik olay, viseral iskemi veya renal malperfüzyon gelişmediği</w:t>
      </w:r>
      <w:r>
        <w:t xml:space="preserve"> </w:t>
      </w:r>
      <w:r>
        <w:t xml:space="preserve">grup içindedir. 208. günde nörolojik sekelsiz ve hemodinamik kontrol altında olması, sağkalım eğrisinin üst bandına yakın konumlandığını göstermektedir. Ancak geç mortalite sürveyansı sürdürülmelidir: rezidüel aort dilatasyonu, prostetik kapak trombozu ve infektif endokardit (PKE) uzun dönem izlemin ana başlıklarıdır (Lau et al., 2025; Delgado et al., 2023).</w:t>
      </w:r>
    </w:p>
    <w:bookmarkEnd w:id="13"/>
    <w:bookmarkStart w:id="14" w:name="Xc3eaa9871532897c28096aeb789d7f5344f82c6"/>
    <w:p>
      <w:pPr>
        <w:pStyle w:val="Heading3"/>
      </w:pPr>
      <w:r>
        <w:rPr>
          <w:rStyle w:val="SectionNumber"/>
        </w:rPr>
        <w:t xml:space="preserve">1.3.2</w:t>
      </w:r>
      <w:r>
        <w:tab/>
      </w:r>
      <w:r>
        <w:t xml:space="preserve">2.2. Rezidüel Tip B Flebi ve Biyomekanik Duvar Gerilimi</w:t>
      </w:r>
    </w:p>
    <w:p>
      <w:pPr>
        <w:pStyle w:val="FirstParagraph"/>
      </w:pPr>
      <w:r>
        <w:t xml:space="preserve">19 Şubat 2026 tarihli BT anjiyografide aort kökünden bilateral iliak bifurkasyona dek uzanan</w:t>
      </w:r>
      <w:r>
        <w:t xml:space="preserve"> </w:t>
      </w:r>
      <w:r>
        <w:rPr>
          <w:b/>
          <w:bCs/>
        </w:rPr>
        <w:t xml:space="preserve">Stanford Tip B / DeBakey Tip I</w:t>
      </w:r>
      <w:r>
        <w:t xml:space="preserve"> </w:t>
      </w:r>
      <w:r>
        <w:t xml:space="preserve">diseksiyon flebi tanımlanmıştır. Bu rezidüel flep, 20 Şubat 2026 tarihli asendan aort replasmanıyla proksimal düzeyde elimine edilmiştir; ancak arkus distalinden iliak bifurkasyona dek patent seyir göstermektedir (Czerny et al., 2024; Fleischmann et al., 2022).</w:t>
      </w:r>
    </w:p>
    <w:p>
      <w:pPr>
        <w:pStyle w:val="BodyText"/>
      </w:pPr>
      <w:r>
        <w:rPr>
          <w:b/>
          <w:bCs/>
        </w:rPr>
        <w:t xml:space="preserve">5 Mayıs 2026 Kontrol BT Anjiyografi Ölçümleri: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Çap</w:t>
            </w:r>
          </w:p>
        </w:tc>
        <w:tc>
          <w:tcPr/>
          <w:p>
            <w:pPr>
              <w:pStyle w:val="Compact"/>
            </w:pPr>
            <w:r>
              <w:t xml:space="preserve">Durum</w:t>
            </w:r>
          </w:p>
        </w:tc>
        <w:tc>
          <w:tcPr/>
          <w:p>
            <w:pPr>
              <w:pStyle w:val="Compact"/>
            </w:pPr>
            <w:r>
              <w:t xml:space="preserve">Referans</w:t>
            </w:r>
          </w:p>
        </w:tc>
      </w:tr>
      <w:tr>
        <w:tc>
          <w:tcPr/>
          <w:p>
            <w:pPr>
              <w:pStyle w:val="Compact"/>
            </w:pPr>
            <w:r>
              <w:t xml:space="preserve">Aort kökü</w:t>
            </w:r>
          </w:p>
        </w:tc>
        <w:tc>
          <w:tcPr/>
          <w:p>
            <w:pPr>
              <w:pStyle w:val="Compact"/>
            </w:pPr>
            <w:r>
              <w:t xml:space="preserve">46 mm</w:t>
            </w:r>
          </w:p>
        </w:tc>
        <w:tc>
          <w:tcPr/>
          <w:p>
            <w:pPr>
              <w:pStyle w:val="Compact"/>
            </w:pPr>
            <w:r>
              <w:t xml:space="preserve">Stabil</w:t>
            </w:r>
          </w:p>
        </w:tc>
        <w:tc>
          <w:tcPr/>
          <w:p>
            <w:pPr>
              <w:pStyle w:val="Compact"/>
            </w:pPr>
            <w:r>
              <w:t xml:space="preserve">&lt;50 mm cerrahi eşik</w:t>
            </w:r>
          </w:p>
        </w:tc>
      </w:tr>
      <w:tr>
        <w:tc>
          <w:tcPr/>
          <w:p>
            <w:pPr>
              <w:pStyle w:val="Compact"/>
            </w:pPr>
            <w:r>
              <w:t xml:space="preserve">Aortik arkus</w:t>
            </w:r>
          </w:p>
        </w:tc>
        <w:tc>
          <w:tcPr/>
          <w:p>
            <w:pPr>
              <w:pStyle w:val="Compact"/>
            </w:pPr>
            <w:r>
              <w:t xml:space="preserve">46 mm</w:t>
            </w:r>
          </w:p>
        </w:tc>
        <w:tc>
          <w:tcPr/>
          <w:p>
            <w:pPr>
              <w:pStyle w:val="Compact"/>
            </w:pPr>
            <w:r>
              <w:t xml:space="preserve">Stabil</w:t>
            </w:r>
          </w:p>
        </w:tc>
        <w:tc>
          <w:tcPr/>
          <w:p>
            <w:pPr>
              <w:pStyle w:val="Compact"/>
            </w:pPr>
            <w:r>
              <w:t xml:space="preserve">&lt;55 mm cerrahi eşik</w:t>
            </w:r>
          </w:p>
        </w:tc>
      </w:tr>
      <w:tr>
        <w:tc>
          <w:tcPr/>
          <w:p>
            <w:pPr>
              <w:pStyle w:val="Compact"/>
            </w:pPr>
            <w:r>
              <w:t xml:space="preserve">İnen (desendan) aorta</w:t>
            </w:r>
          </w:p>
        </w:tc>
        <w:tc>
          <w:tcPr/>
          <w:p>
            <w:pPr>
              <w:pStyle w:val="Compact"/>
            </w:pPr>
            <w:r>
              <w:t xml:space="preserve">39 mm</w:t>
            </w:r>
          </w:p>
        </w:tc>
        <w:tc>
          <w:tcPr/>
          <w:p>
            <w:pPr>
              <w:pStyle w:val="Compact"/>
            </w:pPr>
            <w:r>
              <w:t xml:space="preserve">Hafif genişlemiş</w:t>
            </w:r>
          </w:p>
        </w:tc>
        <w:tc>
          <w:tcPr/>
          <w:p>
            <w:pPr>
              <w:pStyle w:val="Compact"/>
            </w:pPr>
            <w:r>
              <w:t xml:space="preserve">&lt;55 mm</w:t>
            </w:r>
          </w:p>
        </w:tc>
      </w:tr>
      <w:tr>
        <w:tc>
          <w:tcPr/>
          <w:p>
            <w:pPr>
              <w:pStyle w:val="Compact"/>
            </w:pPr>
            <w:r>
              <w:t xml:space="preserve">Abdominal aorta (suprarenal)</w:t>
            </w:r>
          </w:p>
        </w:tc>
        <w:tc>
          <w:tcPr/>
          <w:p>
            <w:pPr>
              <w:pStyle w:val="Compact"/>
            </w:pPr>
            <w:r>
              <w:t xml:space="preserve">38 mm</w:t>
            </w:r>
          </w:p>
        </w:tc>
        <w:tc>
          <w:tcPr/>
          <w:p>
            <w:pPr>
              <w:pStyle w:val="Compact"/>
            </w:pPr>
            <w:r>
              <w:t xml:space="preserve">Hafif ektatik</w:t>
            </w:r>
          </w:p>
        </w:tc>
        <w:tc>
          <w:tcPr/>
          <w:p>
            <w:pPr>
              <w:pStyle w:val="Compact"/>
            </w:pPr>
            <w:r>
              <w:t xml:space="preserve">&lt;50 mm</w:t>
            </w:r>
          </w:p>
        </w:tc>
      </w:tr>
      <w:tr>
        <w:tc>
          <w:tcPr/>
          <w:p>
            <w:pPr>
              <w:pStyle w:val="Compact"/>
            </w:pPr>
            <w:r>
              <w:t xml:space="preserve">Sol ana iliak + eksternal iliak</w:t>
            </w:r>
          </w:p>
        </w:tc>
        <w:tc>
          <w:tcPr/>
          <w:p>
            <w:pPr>
              <w:pStyle w:val="Compact"/>
            </w:pPr>
            <w:r>
              <w:t xml:space="preserve">Diseke</w:t>
            </w:r>
          </w:p>
        </w:tc>
        <w:tc>
          <w:tcPr/>
          <w:p>
            <w:pPr>
              <w:pStyle w:val="Compact"/>
            </w:pPr>
            <w:r>
              <w:t xml:space="preserve">Takip</w:t>
            </w:r>
          </w:p>
        </w:tc>
        <w:tc>
          <w:tcPr/>
          <w:p>
            <w:pPr>
              <w:pStyle w:val="Compact"/>
            </w:pPr>
            <w:r>
              <w:t xml:space="preserve">Patent flep</w:t>
            </w:r>
          </w:p>
        </w:tc>
      </w:tr>
    </w:tbl>
    <w:p>
      <w:pPr>
        <w:pStyle w:val="BodyText"/>
      </w:pPr>
      <w:r>
        <w:rPr>
          <w:b/>
          <w:bCs/>
        </w:rPr>
        <w:t xml:space="preserve">Biyomekanik Duvar Gerilimi Prensibi (Laplace &amp; Kesme Gerilimi):</w:t>
      </w:r>
    </w:p>
    <w:p>
      <w:pPr>
        <w:pStyle w:val="BodyText"/>
      </w:pPr>
      <w:r>
        <w:t xml:space="preserve">Aortik duvar gerilimi iki bileşen tarafından belirlenir:</w:t>
      </w:r>
    </w:p>
    <w:p>
      <w:pPr>
        <w:pStyle w:val="Compact"/>
        <w:numPr>
          <w:ilvl w:val="0"/>
          <w:numId w:val="1001"/>
        </w:numPr>
      </w:pPr>
      <w:r>
        <w:rPr>
          <w:b/>
          <w:bCs/>
        </w:rPr>
        <w:t xml:space="preserve">Sirkumferensiyel (Laplace) gerilim:</w:t>
      </w:r>
      <w:r>
        <w:t xml:space="preserve"> </w:t>
      </w:r>
      <w:r>
        <w:t xml:space="preserve">σ = P × r / h — burada P = intraluminal basınç, r = damar yarıçapı, h = duvar kalınlığı</w:t>
      </w:r>
    </w:p>
    <w:p>
      <w:pPr>
        <w:pStyle w:val="Compact"/>
        <w:numPr>
          <w:ilvl w:val="0"/>
          <w:numId w:val="1001"/>
        </w:numPr>
      </w:pPr>
      <w:r>
        <w:rPr>
          <w:b/>
          <w:bCs/>
        </w:rPr>
        <w:t xml:space="preserve">Uzunlamasına kesme gerilimi (shear stress):</w:t>
      </w:r>
      <w:r>
        <w:t xml:space="preserve"> </w:t>
      </w:r>
      <w:r>
        <w:t xml:space="preserve">τ = μ × (dP/dt) / r — burada sol ventrikül ejeksiyon ivmesi (dP/dt) temel belirleyicidir</w:t>
      </w:r>
    </w:p>
    <w:p>
      <w:pPr>
        <w:pStyle w:val="FirstParagraph"/>
      </w:pPr>
      <w:r>
        <w:t xml:space="preserve">Hastamızda</w:t>
      </w:r>
      <w:r>
        <w:t xml:space="preserve"> </w:t>
      </w:r>
      <w:r>
        <w:rPr>
          <w:b/>
          <w:bCs/>
        </w:rPr>
        <w:t xml:space="preserve">dP/dt bileşeni</w:t>
      </w:r>
      <w:r>
        <w:t xml:space="preserve"> </w:t>
      </w:r>
      <w:r>
        <w:t xml:space="preserve">iki ilaçla doğrudan kontrol altına alınmıştır:</w:t>
      </w:r>
    </w:p>
    <w:p>
      <w:pPr>
        <w:pStyle w:val="Compact"/>
        <w:numPr>
          <w:ilvl w:val="0"/>
          <w:numId w:val="1002"/>
        </w:numPr>
      </w:pPr>
      <w:r>
        <w:rPr>
          <w:b/>
          <w:bCs/>
        </w:rPr>
        <w:t xml:space="preserve">Karvedilol (Dilatrend 6.25 mg 2×1):</w:t>
      </w:r>
      <w:r>
        <w:t xml:space="preserve"> </w:t>
      </w:r>
      <w:r>
        <w:t xml:space="preserve">Non-selektif β-blokaj ile miyokard kontraktilitesini ve ejeksiyon ivmesini baskılar (Melby et al., 2013)</w:t>
      </w:r>
    </w:p>
    <w:p>
      <w:pPr>
        <w:pStyle w:val="Compact"/>
        <w:numPr>
          <w:ilvl w:val="0"/>
          <w:numId w:val="1002"/>
        </w:numPr>
      </w:pPr>
      <w:r>
        <w:rPr>
          <w:b/>
          <w:bCs/>
        </w:rPr>
        <w:t xml:space="preserve">Perindopril (Coversyl 5 mg 1×1):</w:t>
      </w:r>
      <w:r>
        <w:t xml:space="preserve"> </w:t>
      </w:r>
      <w:r>
        <w:t xml:space="preserve">ACE inhibisyonu ile sistemik vasküler rezistansı kırarak Laplace bileşenini düşürür (McEvoy et al., 2024)</w:t>
      </w:r>
    </w:p>
    <w:p>
      <w:pPr>
        <w:pStyle w:val="FirstParagraph"/>
      </w:pPr>
      <w:r>
        <w:t xml:space="preserve">Son 7 günlük 113/75 mmHg ortalaması, 5 Ağustos 2026'da Coversyl eklendikten sonra elde edilen ve 2024 ESC Hedefinin (≤120/80) altında kalan başarılı bir hemodinamik kontrolü yansıtmaktadır (McEvoy et al., 2024).</w:t>
      </w:r>
    </w:p>
    <w:bookmarkEnd w:id="14"/>
    <w:bookmarkStart w:id="15" w:name="Xe1c55e843162e58b5d8eac0e2f0c6197bfbbdc8"/>
    <w:p>
      <w:pPr>
        <w:pStyle w:val="Heading3"/>
      </w:pPr>
      <w:r>
        <w:rPr>
          <w:rStyle w:val="SectionNumber"/>
        </w:rPr>
        <w:t xml:space="preserve">1.3.3</w:t>
      </w:r>
      <w:r>
        <w:tab/>
      </w:r>
      <w:r>
        <w:t xml:space="preserve">2.3. Mikrositer Aneminin Aortik Yüke Etkisi</w:t>
      </w:r>
    </w:p>
    <w:p>
      <w:pPr>
        <w:pStyle w:val="FirstParagraph"/>
      </w:pPr>
      <w:r>
        <w:t xml:space="preserve">HGB 9.7 g/dL seviyesindeki anemi, doku oksijen sunumunu azaltarak kompanzatuar olarak kardiyak debiyi artırır. Bu hiperdinamik akım, sol ventrikül ejeksiyon hızını (dP/dt) yükseltir ve rezidüel flebin duvarına uygulanan kesme gerilimini artırır (Snook et al., 2021; Melby et al., 2013).</w:t>
      </w:r>
      <w:r>
        <w:t xml:space="preserve"> </w:t>
      </w:r>
      <w:r>
        <w:rPr>
          <w:b/>
          <w:bCs/>
        </w:rPr>
        <w:t xml:space="preserve">Anemi, yalnızca bir hematolojik sorun değil, aynı zamanda aortik duvar için bir biyomekanik stresördür.</w:t>
      </w:r>
      <w:r>
        <w:t xml:space="preserve"> </w:t>
      </w:r>
      <w:r>
        <w:t xml:space="preserve">Ferro Sanol Duodenal 100 mg (11.09.2026 başlangıç) ve olası IV Ferrik Karboksimaltoz 1000 mg (intolerans/refrakterlik durumunda) ile aneminin düzeltilmesi, birincil vasküler koruma stratejisidir (Snook et al., 2021; Camaschella, 2015).</w:t>
      </w:r>
    </w:p>
    <w:p>
      <w:r>
        <w:pict>
          <v:rect style="width:0;height:1.5pt" o:hralign="center" o:hrstd="t" o:hr="t"/>
        </w:pict>
      </w:r>
    </w:p>
    <w:bookmarkEnd w:id="15"/>
    <w:bookmarkEnd w:id="16"/>
    <w:bookmarkStart w:id="20" w:name="X1978da5257e8ca0203c8764b33fd60c7fcd13b7"/>
    <w:p>
      <w:pPr>
        <w:pStyle w:val="Heading2"/>
      </w:pPr>
      <w:r>
        <w:rPr>
          <w:rStyle w:val="SectionNumber"/>
        </w:rPr>
        <w:t xml:space="preserve">1.4</w:t>
      </w:r>
      <w:r>
        <w:tab/>
      </w:r>
      <w:r>
        <w:t xml:space="preserve">3. TTR &amp; Hemostaz Yönetimi</w:t>
      </w:r>
    </w:p>
    <w:bookmarkStart w:id="17" w:name="Xaf42c10aa48d1b370a3da608a5fa7419e4f8af1"/>
    <w:p>
      <w:pPr>
        <w:pStyle w:val="Heading3"/>
      </w:pPr>
      <w:r>
        <w:rPr>
          <w:rStyle w:val="SectionNumber"/>
        </w:rPr>
        <w:t xml:space="preserve">1.4.1</w:t>
      </w:r>
      <w:r>
        <w:tab/>
      </w:r>
      <w:r>
        <w:t xml:space="preserve">3.1. Rosendaal TTR Analizi</w:t>
      </w:r>
    </w:p>
    <w:p>
      <w:pPr>
        <w:pStyle w:val="FirstParagraph"/>
      </w:pPr>
      <w:r>
        <w:t xml:space="preserve">39–40 ölçümlük INR serisi üzerinden Rosendaal lineer interpolasyonu ile</w:t>
      </w:r>
      <w:r>
        <w:t xml:space="preserve"> </w:t>
      </w:r>
      <w:r>
        <w:rPr>
          <w:b/>
          <w:bCs/>
        </w:rPr>
        <w:t xml:space="preserve">TTR %54.6</w:t>
      </w:r>
      <w:r>
        <w:t xml:space="preserve"> </w:t>
      </w:r>
      <w:r>
        <w:t xml:space="preserve">hesaplanmıştır (Rosendaal et al., 1993). Mekanik aort kapaklı hastalarda hedef</w:t>
      </w:r>
      <w:r>
        <w:t xml:space="preserve"> </w:t>
      </w:r>
      <w:r>
        <w:rPr>
          <w:b/>
          <w:bCs/>
        </w:rPr>
        <w:t xml:space="preserve">TTR &gt;%70</w:t>
      </w:r>
      <w:r>
        <w:t xml:space="preserve">'tir (Vahanian et al., 2022). Hastanın %54.6 değeri, suboptimal antikoagülasyon penceresindedir ve prostetik kapak trombozu riskinin yükseldiği bir aralığa işaret eder.</w:t>
      </w:r>
    </w:p>
    <w:p>
      <w:pPr>
        <w:pStyle w:val="BodyText"/>
      </w:pPr>
      <w:r>
        <w:rPr>
          <w:b/>
          <w:bCs/>
        </w:rPr>
        <w:t xml:space="preserve">Kritik Sapmalar:</w:t>
      </w:r>
    </w:p>
    <w:p>
      <w:pPr>
        <w:pStyle w:val="Compact"/>
        <w:numPr>
          <w:ilvl w:val="0"/>
          <w:numId w:val="1003"/>
        </w:numPr>
      </w:pPr>
      <w:r>
        <w:rPr>
          <w:b/>
          <w:bCs/>
        </w:rPr>
        <w:t xml:space="preserve">16 Mart 2026 → INR 8.46 (supraterapötik):</w:t>
      </w:r>
      <w:r>
        <w:t xml:space="preserve"> </w:t>
      </w:r>
      <w:r>
        <w:t xml:space="preserve">Aspirin geçici kesildi, warfarin dozu haftalık 8.75 mg'a kadar düşürüldü</w:t>
      </w:r>
    </w:p>
    <w:p>
      <w:pPr>
        <w:pStyle w:val="Compact"/>
        <w:numPr>
          <w:ilvl w:val="0"/>
          <w:numId w:val="1003"/>
        </w:numPr>
      </w:pPr>
      <w:r>
        <w:rPr>
          <w:b/>
          <w:bCs/>
        </w:rPr>
        <w:t xml:space="preserve">27 Temmuz 2026 → INR 1.17 (köprüleme öncesi):</w:t>
      </w:r>
      <w:r>
        <w:t xml:space="preserve"> </w:t>
      </w:r>
      <w:r>
        <w:t xml:space="preserve">Sternal revizyon yatışı sırasında Warfarin kesildi, Oksapar 0.6 ml BID köprüsü uygulandı</w:t>
      </w:r>
    </w:p>
    <w:p>
      <w:pPr>
        <w:pStyle w:val="Compact"/>
        <w:numPr>
          <w:ilvl w:val="0"/>
          <w:numId w:val="1003"/>
        </w:numPr>
      </w:pPr>
      <w:r>
        <w:rPr>
          <w:b/>
          <w:bCs/>
        </w:rPr>
        <w:t xml:space="preserve">15 Eylül 2026 → INR 1.95 (subterapötik):</w:t>
      </w:r>
      <w:r>
        <w:t xml:space="preserve"> </w:t>
      </w:r>
      <w:r>
        <w:t xml:space="preserve">Klamoks kürünün sonlanmasını takiben 3 gün içinde gerileme</w:t>
      </w:r>
    </w:p>
    <w:bookmarkEnd w:id="17"/>
    <w:bookmarkStart w:id="18" w:name="X6a7118c8976e01cad757217f667ade01ed0ab22"/>
    <w:p>
      <w:pPr>
        <w:pStyle w:val="Heading3"/>
      </w:pPr>
      <w:r>
        <w:rPr>
          <w:rStyle w:val="SectionNumber"/>
        </w:rPr>
        <w:t xml:space="preserve">1.4.2</w:t>
      </w:r>
      <w:r>
        <w:tab/>
      </w:r>
      <w:r>
        <w:t xml:space="preserve">3.2. Klamoks-Warfarin Etkileşiminin Kinetiği ve Post-Kür Dönemi</w:t>
      </w:r>
    </w:p>
    <w:p>
      <w:pPr>
        <w:pStyle w:val="FirstParagraph"/>
      </w:pPr>
      <w:r>
        <w:t xml:space="preserve">Amoksisilin/klavulanat kürü sırasında iki mekanizma ile warfarin metabolizması dalgalanır (Zhang et al., 2011):</w:t>
      </w:r>
    </w:p>
    <w:p>
      <w:pPr>
        <w:pStyle w:val="Compact"/>
        <w:numPr>
          <w:ilvl w:val="0"/>
          <w:numId w:val="1004"/>
        </w:numPr>
      </w:pPr>
      <w:r>
        <w:rPr>
          <w:b/>
          <w:bCs/>
        </w:rPr>
        <w:t xml:space="preserve">Bağırsak florasındaki K vitamini sentezinin baskılanması</w:t>
      </w:r>
      <w:r>
        <w:t xml:space="preserve"> </w:t>
      </w:r>
      <w:r>
        <w:t xml:space="preserve">→ başlangıçta INR yükselir</w:t>
      </w:r>
    </w:p>
    <w:p>
      <w:pPr>
        <w:pStyle w:val="Compact"/>
        <w:numPr>
          <w:ilvl w:val="0"/>
          <w:numId w:val="1004"/>
        </w:numPr>
      </w:pPr>
      <w:r>
        <w:rPr>
          <w:b/>
          <w:bCs/>
        </w:rPr>
        <w:t xml:space="preserve">CYP2C9 hepatik enzim inhibisyonu</w:t>
      </w:r>
      <w:r>
        <w:t xml:space="preserve"> </w:t>
      </w:r>
      <w:r>
        <w:t xml:space="preserve">→ warfarin klirensi azalır ve serbest ilaç düzeyi artar</w:t>
      </w:r>
    </w:p>
    <w:p>
      <w:pPr>
        <w:pStyle w:val="FirstParagraph"/>
      </w:pPr>
      <w:r>
        <w:t xml:space="preserve">Kür tamamlandıktan sonra bağırsak florası normale döndüğünde K vitamini sentezi tekrar başlar ve INR</w:t>
      </w:r>
      <w:r>
        <w:t xml:space="preserve"> </w:t>
      </w:r>
      <w:r>
        <w:rPr>
          <w:b/>
          <w:bCs/>
        </w:rPr>
        <w:t xml:space="preserve">hızlı ve ani biçimde düşer</w:t>
      </w:r>
      <w:r>
        <w:t xml:space="preserve">. Hastamızda Klamoks 11 Eylül 2026 20:59'da sonlandırılmış, 15 Eylül'de alınan kontrol INR'si 1.95 olarak ölçülmüştür (4 günlük geçiş süresi). Bu düşüş örüntüsü, antibiyotik sonrası klasik post-kür dalgalanmasına tam uymaktadır.</w:t>
      </w:r>
    </w:p>
    <w:bookmarkEnd w:id="18"/>
    <w:bookmarkStart w:id="19" w:name="X0e0aa87bc6ee4bc8a0623fef18772cdd6bf2b55"/>
    <w:p>
      <w:pPr>
        <w:pStyle w:val="Heading3"/>
      </w:pPr>
      <w:r>
        <w:rPr>
          <w:rStyle w:val="SectionNumber"/>
        </w:rPr>
        <w:t xml:space="preserve">1.4.3</w:t>
      </w:r>
      <w:r>
        <w:tab/>
      </w:r>
      <w:r>
        <w:t xml:space="preserve">3.3. Subterapötik INR Riskleri ve Doz Titrasyon Planı</w:t>
      </w:r>
    </w:p>
    <w:p>
      <w:pPr>
        <w:pStyle w:val="FirstParagraph"/>
      </w:pPr>
      <w:r>
        <w:t xml:space="preserve">INR &lt;2.0 dönemleri mekanik kapaklı hastalarda:</w:t>
      </w:r>
    </w:p>
    <w:p>
      <w:pPr>
        <w:pStyle w:val="Compact"/>
        <w:numPr>
          <w:ilvl w:val="0"/>
          <w:numId w:val="1005"/>
        </w:numPr>
      </w:pPr>
      <w:r>
        <w:t xml:space="preserve">Kapak trombüsü riski 3.1 kat artar (Vahanian et al., 2022)</w:t>
      </w:r>
    </w:p>
    <w:p>
      <w:pPr>
        <w:pStyle w:val="Compact"/>
        <w:numPr>
          <w:ilvl w:val="0"/>
          <w:numId w:val="1005"/>
        </w:numPr>
      </w:pPr>
      <w:r>
        <w:t xml:space="preserve">Sistemik emboli (serebral, mezenterik, renal) riski belirgin yükselir</w:t>
      </w:r>
    </w:p>
    <w:p>
      <w:pPr>
        <w:pStyle w:val="Compact"/>
        <w:numPr>
          <w:ilvl w:val="0"/>
          <w:numId w:val="1005"/>
        </w:numPr>
      </w:pPr>
      <w:r>
        <w:t xml:space="preserve">Kapak disfonksiyonu ve tromboz nedeniyle yeniden operasyon gereksinimi ortaya çıkabilir</w:t>
      </w:r>
    </w:p>
    <w:p>
      <w:pPr>
        <w:pStyle w:val="FirstParagraph"/>
      </w:pPr>
      <w:r>
        <w:rPr>
          <w:b/>
          <w:bCs/>
        </w:rPr>
        <w:t xml:space="preserve">Önerilen Protokol:</w:t>
      </w:r>
      <w:r>
        <w:t xml:space="preserve"> </w:t>
      </w:r>
      <w:r>
        <w:t xml:space="preserve">| Parametre | Mevcut | Hedef | Eylem |</w:t>
      </w:r>
      <w:r>
        <w:t xml:space="preserve"> </w:t>
      </w:r>
      <w:r>
        <w:t xml:space="preserve">|-----------|--------|-------|-------|</w:t>
      </w:r>
      <w:r>
        <w:t xml:space="preserve"> </w:t>
      </w:r>
      <w:r>
        <w:t xml:space="preserve">| Warfmadin haftalık doz | 20 mg/hafta (4 × 5 mg) | 22.5–25 mg/hafta | 7 gün boyunca 2.5 mg ek doz veya 5 mg → 7.5 mg bir gün |</w:t>
      </w:r>
      <w:r>
        <w:t xml:space="preserve"> </w:t>
      </w:r>
      <w:r>
        <w:t xml:space="preserve">| Kontrol INR | 15.09.2026 (1.95) | 23–26 Eylül 2026 | 7–10 gün içinde test |</w:t>
      </w:r>
      <w:r>
        <w:t xml:space="preserve"> </w:t>
      </w:r>
      <w:r>
        <w:t xml:space="preserve">| Diyet | Stabil | K vitamini stabilizasyonu | Ispanak, brokoli, maydanoz porsiyonları sabitlenmeli |</w:t>
      </w:r>
      <w:r>
        <w:t xml:space="preserve"> </w:t>
      </w:r>
      <w:r>
        <w:t xml:space="preserve">| İlaç uyumu | Kontrol edilmeli | %100 | Atlamayan kullanım için hatırlatıcı |</w:t>
      </w:r>
    </w:p>
    <w:p>
      <w:r>
        <w:pict>
          <v:rect style="width:0;height:1.5pt" o:hralign="center" o:hrstd="t" o:hr="t"/>
        </w:pict>
      </w:r>
    </w:p>
    <w:bookmarkEnd w:id="19"/>
    <w:bookmarkEnd w:id="20"/>
    <w:bookmarkStart w:id="22" w:name="Xa28fd10985577c5ae5e07612f30fb38e384f514"/>
    <w:p>
      <w:pPr>
        <w:pStyle w:val="Heading2"/>
      </w:pPr>
      <w:r>
        <w:rPr>
          <w:rStyle w:val="SectionNumber"/>
        </w:rPr>
        <w:t xml:space="preserve">1.5</w:t>
      </w:r>
      <w:r>
        <w:tab/>
      </w:r>
      <w:r>
        <w:t xml:space="preserve">4. Tümleşik Master Tablo — 32 Parametrelik Biyobelirteç Audit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Parametre</w:t>
            </w:r>
          </w:p>
        </w:tc>
        <w:tc>
          <w:tcPr/>
          <w:p>
            <w:pPr>
              <w:pStyle w:val="Compact"/>
            </w:pPr>
            <w:r>
              <w:t xml:space="preserve">Referans</w:t>
            </w:r>
          </w:p>
        </w:tc>
        <w:tc>
          <w:tcPr/>
          <w:p>
            <w:pPr>
              <w:pStyle w:val="Compact"/>
            </w:pPr>
            <w:r>
              <w:t xml:space="preserve">İlk (19.02)</w:t>
            </w:r>
          </w:p>
        </w:tc>
        <w:tc>
          <w:tcPr/>
          <w:p>
            <w:pPr>
              <w:pStyle w:val="Compact"/>
            </w:pPr>
            <w:r>
              <w:t xml:space="preserve">Zirve/Dip</w:t>
            </w:r>
          </w:p>
        </w:tc>
        <w:tc>
          <w:tcPr/>
          <w:p>
            <w:pPr>
              <w:pStyle w:val="Compact"/>
            </w:pPr>
            <w:r>
              <w:t xml:space="preserve">Son (15.09)</w:t>
            </w:r>
          </w:p>
        </w:tc>
        <w:tc>
          <w:tcPr/>
          <w:p>
            <w:pPr>
              <w:pStyle w:val="Compact"/>
            </w:pPr>
            <w:r>
              <w:t xml:space="preserve">%Δ</w:t>
            </w:r>
          </w:p>
        </w:tc>
        <w:tc>
          <w:tcPr/>
          <w:p>
            <w:pPr>
              <w:pStyle w:val="Compact"/>
            </w:pPr>
            <w:r>
              <w:t xml:space="preserve">Kılavuz Dayanağı</w:t>
            </w:r>
          </w:p>
        </w:tc>
      </w:tr>
      <w:tr>
        <w:tc>
          <w:tcPr/>
          <w:p>
            <w:pPr>
              <w:pStyle w:val="Compact"/>
            </w:pPr>
            <w:r>
              <w:t xml:space="preserve">1</w:t>
            </w:r>
          </w:p>
        </w:tc>
        <w:tc>
          <w:tcPr/>
          <w:p>
            <w:pPr>
              <w:pStyle w:val="Compact"/>
            </w:pPr>
            <w:r>
              <w:t xml:space="preserve">INR</w:t>
            </w:r>
          </w:p>
        </w:tc>
        <w:tc>
          <w:tcPr/>
          <w:p>
            <w:pPr>
              <w:pStyle w:val="Compact"/>
            </w:pPr>
            <w:r>
              <w:t xml:space="preserve">2.0–3.0 (hedef)</w:t>
            </w:r>
          </w:p>
        </w:tc>
        <w:tc>
          <w:tcPr/>
          <w:p>
            <w:pPr>
              <w:pStyle w:val="Compact"/>
            </w:pPr>
            <w:r>
              <w:t xml:space="preserve">1.10</w:t>
            </w:r>
          </w:p>
        </w:tc>
        <w:tc>
          <w:tcPr/>
          <w:p>
            <w:pPr>
              <w:pStyle w:val="Compact"/>
            </w:pPr>
            <w:r>
              <w:t xml:space="preserve">8.46</w:t>
            </w:r>
          </w:p>
        </w:tc>
        <w:tc>
          <w:tcPr/>
          <w:p>
            <w:pPr>
              <w:pStyle w:val="Compact"/>
            </w:pPr>
            <w:r>
              <w:rPr>
                <w:b/>
                <w:bCs/>
              </w:rPr>
              <w:t xml:space="preserve">1.95</w:t>
            </w:r>
          </w:p>
        </w:tc>
        <w:tc>
          <w:tcPr/>
          <w:p>
            <w:pPr>
              <w:pStyle w:val="Compact"/>
            </w:pPr>
            <w:r>
              <w:t xml:space="preserve">+77.3%</w:t>
            </w:r>
          </w:p>
        </w:tc>
        <w:tc>
          <w:tcPr/>
          <w:p>
            <w:pPr>
              <w:pStyle w:val="Compact"/>
            </w:pPr>
            <w:r>
              <w:t xml:space="preserve">Vahanian et al. (2022)</w:t>
            </w:r>
          </w:p>
        </w:tc>
      </w:tr>
      <w:tr>
        <w:tc>
          <w:tcPr/>
          <w:p>
            <w:pPr>
              <w:pStyle w:val="Compact"/>
            </w:pPr>
            <w:r>
              <w:t xml:space="preserve">2</w:t>
            </w:r>
          </w:p>
        </w:tc>
        <w:tc>
          <w:tcPr/>
          <w:p>
            <w:pPr>
              <w:pStyle w:val="Compact"/>
            </w:pPr>
            <w:r>
              <w:t xml:space="preserve">PT</w:t>
            </w:r>
          </w:p>
        </w:tc>
        <w:tc>
          <w:tcPr/>
          <w:p>
            <w:pPr>
              <w:pStyle w:val="Compact"/>
            </w:pPr>
            <w:r>
              <w:t xml:space="preserve">9.6–12.0 sn</w:t>
            </w:r>
          </w:p>
        </w:tc>
        <w:tc>
          <w:tcPr/>
          <w:p>
            <w:pPr>
              <w:pStyle w:val="Compact"/>
            </w:pPr>
            <w:r>
              <w:t xml:space="preserve">13.1</w:t>
            </w:r>
          </w:p>
        </w:tc>
        <w:tc>
          <w:tcPr/>
          <w:p>
            <w:pPr>
              <w:pStyle w:val="Compact"/>
            </w:pPr>
            <w:r>
              <w:t xml:space="preserve">64.0</w:t>
            </w:r>
          </w:p>
        </w:tc>
        <w:tc>
          <w:tcPr/>
          <w:p>
            <w:pPr>
              <w:pStyle w:val="Compact"/>
            </w:pPr>
            <w:r>
              <w:rPr>
                <w:b/>
                <w:bCs/>
              </w:rPr>
              <w:t xml:space="preserve">18.4</w:t>
            </w:r>
          </w:p>
        </w:tc>
        <w:tc>
          <w:tcPr/>
          <w:p>
            <w:pPr>
              <w:pStyle w:val="Compact"/>
            </w:pPr>
            <w:r>
              <w:t xml:space="preserve">+40.5%</w:t>
            </w:r>
          </w:p>
        </w:tc>
        <w:tc>
          <w:tcPr/>
          <w:p>
            <w:pPr>
              <w:pStyle w:val="Compact"/>
            </w:pPr>
            <w:r>
              <w:t xml:space="preserve">Vahanian et al. (2022)</w:t>
            </w:r>
          </w:p>
        </w:tc>
      </w:tr>
      <w:tr>
        <w:tc>
          <w:tcPr/>
          <w:p>
            <w:pPr>
              <w:pStyle w:val="Compact"/>
            </w:pPr>
            <w:r>
              <w:t xml:space="preserve">3</w:t>
            </w:r>
          </w:p>
        </w:tc>
        <w:tc>
          <w:tcPr/>
          <w:p>
            <w:pPr>
              <w:pStyle w:val="Compact"/>
            </w:pPr>
            <w:r>
              <w:t xml:space="preserve">aPTT</w:t>
            </w:r>
          </w:p>
        </w:tc>
        <w:tc>
          <w:tcPr/>
          <w:p>
            <w:pPr>
              <w:pStyle w:val="Compact"/>
            </w:pPr>
            <w:r>
              <w:t xml:space="preserve">23.9–33.2 sn</w:t>
            </w:r>
          </w:p>
        </w:tc>
        <w:tc>
          <w:tcPr/>
          <w:p>
            <w:pPr>
              <w:pStyle w:val="Compact"/>
            </w:pPr>
            <w:r>
              <w:t xml:space="preserve">27.9</w:t>
            </w:r>
          </w:p>
        </w:tc>
        <w:tc>
          <w:tcPr/>
          <w:p>
            <w:pPr>
              <w:pStyle w:val="Compact"/>
            </w:pPr>
            <w:r>
              <w:t xml:space="preserve">85.5</w:t>
            </w:r>
          </w:p>
        </w:tc>
        <w:tc>
          <w:tcPr/>
          <w:p>
            <w:pPr>
              <w:pStyle w:val="Compact"/>
            </w:pPr>
            <w:r>
              <w:rPr>
                <w:b/>
                <w:bCs/>
              </w:rPr>
              <w:t xml:space="preserve">44.4</w:t>
            </w:r>
          </w:p>
        </w:tc>
        <w:tc>
          <w:tcPr/>
          <w:p>
            <w:pPr>
              <w:pStyle w:val="Compact"/>
            </w:pPr>
            <w:r>
              <w:t xml:space="preserve">+59.1%</w:t>
            </w:r>
          </w:p>
        </w:tc>
        <w:tc>
          <w:tcPr/>
          <w:p>
            <w:pPr>
              <w:pStyle w:val="Compact"/>
            </w:pPr>
            <w:r>
              <w:t xml:space="preserve">Vahanian et al. (2022)</w:t>
            </w:r>
          </w:p>
        </w:tc>
      </w:tr>
      <w:tr>
        <w:tc>
          <w:tcPr/>
          <w:p>
            <w:pPr>
              <w:pStyle w:val="Compact"/>
            </w:pPr>
            <w:r>
              <w:t xml:space="preserve">4</w:t>
            </w:r>
          </w:p>
        </w:tc>
        <w:tc>
          <w:tcPr/>
          <w:p>
            <w:pPr>
              <w:pStyle w:val="Compact"/>
            </w:pPr>
            <w:r>
              <w:t xml:space="preserve">Fibrinojen</w:t>
            </w:r>
          </w:p>
        </w:tc>
        <w:tc>
          <w:tcPr/>
          <w:p>
            <w:pPr>
              <w:pStyle w:val="Compact"/>
            </w:pPr>
            <w:r>
              <w:t xml:space="preserve">185–350 mg/dL</w:t>
            </w:r>
          </w:p>
        </w:tc>
        <w:tc>
          <w:tcPr/>
          <w:p>
            <w:pPr>
              <w:pStyle w:val="Compact"/>
            </w:pPr>
            <w:r>
              <w:t xml:space="preserve">415.5</w:t>
            </w:r>
          </w:p>
        </w:tc>
        <w:tc>
          <w:tcPr/>
          <w:p>
            <w:pPr>
              <w:pStyle w:val="Compact"/>
            </w:pPr>
            <w:r>
              <w:t xml:space="preserve">415.5</w:t>
            </w:r>
          </w:p>
        </w:tc>
        <w:tc>
          <w:tcPr/>
          <w:p>
            <w:pPr>
              <w:pStyle w:val="Compact"/>
            </w:pPr>
            <w:r>
              <w:rPr>
                <w:b/>
                <w:bCs/>
              </w:rPr>
              <w:t xml:space="preserve">415.5</w:t>
            </w:r>
          </w:p>
        </w:tc>
        <w:tc>
          <w:tcPr/>
          <w:p>
            <w:pPr>
              <w:pStyle w:val="Compact"/>
            </w:pPr>
            <w:r>
              <w:t xml:space="preserve">0%</w:t>
            </w:r>
          </w:p>
        </w:tc>
        <w:tc>
          <w:tcPr/>
          <w:p>
            <w:pPr>
              <w:pStyle w:val="Compact"/>
            </w:pPr>
            <w:r>
              <w:t xml:space="preserve">Horan et al. (2008)</w:t>
            </w:r>
          </w:p>
        </w:tc>
      </w:tr>
      <w:tr>
        <w:tc>
          <w:tcPr/>
          <w:p>
            <w:pPr>
              <w:pStyle w:val="Compact"/>
            </w:pPr>
            <w:r>
              <w:t xml:space="preserve">5</w:t>
            </w:r>
          </w:p>
        </w:tc>
        <w:tc>
          <w:tcPr/>
          <w:p>
            <w:pPr>
              <w:pStyle w:val="Compact"/>
            </w:pPr>
            <w:r>
              <w:t xml:space="preserve">D-Dimer</w:t>
            </w:r>
          </w:p>
        </w:tc>
        <w:tc>
          <w:tcPr/>
          <w:p>
            <w:pPr>
              <w:pStyle w:val="Compact"/>
            </w:pPr>
            <w:r>
              <w:t xml:space="preserve">0–500 ng/mL</w:t>
            </w:r>
          </w:p>
        </w:tc>
        <w:tc>
          <w:tcPr/>
          <w:p>
            <w:pPr>
              <w:pStyle w:val="Compact"/>
            </w:pPr>
            <w:r>
              <w:t xml:space="preserve">5.510</w:t>
            </w:r>
          </w:p>
        </w:tc>
        <w:tc>
          <w:tcPr/>
          <w:p>
            <w:pPr>
              <w:pStyle w:val="Compact"/>
            </w:pPr>
            <w:r>
              <w:t xml:space="preserve">9.656</w:t>
            </w:r>
          </w:p>
        </w:tc>
        <w:tc>
          <w:tcPr/>
          <w:p>
            <w:pPr>
              <w:pStyle w:val="Compact"/>
            </w:pPr>
            <w:r>
              <w:rPr>
                <w:b/>
                <w:bCs/>
              </w:rPr>
              <w:t xml:space="preserve">9.656</w:t>
            </w:r>
          </w:p>
        </w:tc>
        <w:tc>
          <w:tcPr/>
          <w:p>
            <w:pPr>
              <w:pStyle w:val="Compact"/>
            </w:pPr>
            <w:r>
              <w:t xml:space="preserve">+75.3%</w:t>
            </w:r>
          </w:p>
        </w:tc>
        <w:tc>
          <w:tcPr/>
          <w:p>
            <w:pPr>
              <w:pStyle w:val="Compact"/>
            </w:pPr>
            <w:r>
              <w:t xml:space="preserve">Fleischmann et al. (2022)</w:t>
            </w:r>
          </w:p>
        </w:tc>
      </w:tr>
      <w:tr>
        <w:tc>
          <w:tcPr/>
          <w:p>
            <w:pPr>
              <w:pStyle w:val="Compact"/>
            </w:pPr>
            <w:r>
              <w:t xml:space="preserve">6</w:t>
            </w:r>
          </w:p>
        </w:tc>
        <w:tc>
          <w:tcPr/>
          <w:p>
            <w:pPr>
              <w:pStyle w:val="Compact"/>
            </w:pPr>
            <w:r>
              <w:t xml:space="preserve">Hemoglobin</w:t>
            </w:r>
          </w:p>
        </w:tc>
        <w:tc>
          <w:tcPr/>
          <w:p>
            <w:pPr>
              <w:pStyle w:val="Compact"/>
            </w:pPr>
            <w:r>
              <w:t xml:space="preserve">13.4–17.6 g/dL</w:t>
            </w:r>
          </w:p>
        </w:tc>
        <w:tc>
          <w:tcPr/>
          <w:p>
            <w:pPr>
              <w:pStyle w:val="Compact"/>
            </w:pPr>
            <w:r>
              <w:t xml:space="preserve">14.0</w:t>
            </w:r>
          </w:p>
        </w:tc>
        <w:tc>
          <w:tcPr/>
          <w:p>
            <w:pPr>
              <w:pStyle w:val="Compact"/>
            </w:pPr>
            <w:r>
              <w:t xml:space="preserve">7.7</w:t>
            </w:r>
          </w:p>
        </w:tc>
        <w:tc>
          <w:tcPr/>
          <w:p>
            <w:pPr>
              <w:pStyle w:val="Compact"/>
            </w:pPr>
            <w:r>
              <w:rPr>
                <w:b/>
                <w:bCs/>
              </w:rPr>
              <w:t xml:space="preserve">9.7</w:t>
            </w:r>
          </w:p>
        </w:tc>
        <w:tc>
          <w:tcPr/>
          <w:p>
            <w:pPr>
              <w:pStyle w:val="Compact"/>
            </w:pPr>
            <w:r>
              <w:t xml:space="preserve">-30.7%</w:t>
            </w:r>
          </w:p>
        </w:tc>
        <w:tc>
          <w:tcPr/>
          <w:p>
            <w:pPr>
              <w:pStyle w:val="Compact"/>
            </w:pPr>
            <w:r>
              <w:t xml:space="preserve">Snook et al. (2021)</w:t>
            </w:r>
          </w:p>
        </w:tc>
      </w:tr>
      <w:tr>
        <w:tc>
          <w:tcPr/>
          <w:p>
            <w:pPr>
              <w:pStyle w:val="Compact"/>
            </w:pPr>
            <w:r>
              <w:t xml:space="preserve">7</w:t>
            </w:r>
          </w:p>
        </w:tc>
        <w:tc>
          <w:tcPr/>
          <w:p>
            <w:pPr>
              <w:pStyle w:val="Compact"/>
            </w:pPr>
            <w:r>
              <w:t xml:space="preserve">Hematokrit</w:t>
            </w:r>
          </w:p>
        </w:tc>
        <w:tc>
          <w:tcPr/>
          <w:p>
            <w:pPr>
              <w:pStyle w:val="Compact"/>
            </w:pPr>
            <w:r>
              <w:t xml:space="preserve">40.5–53.6 %</w:t>
            </w:r>
          </w:p>
        </w:tc>
        <w:tc>
          <w:tcPr/>
          <w:p>
            <w:pPr>
              <w:pStyle w:val="Compact"/>
            </w:pPr>
            <w:r>
              <w:t xml:space="preserve">41.4</w:t>
            </w:r>
          </w:p>
        </w:tc>
        <w:tc>
          <w:tcPr/>
          <w:p>
            <w:pPr>
              <w:pStyle w:val="Compact"/>
            </w:pPr>
            <w:r>
              <w:t xml:space="preserve">25.0</w:t>
            </w:r>
          </w:p>
        </w:tc>
        <w:tc>
          <w:tcPr/>
          <w:p>
            <w:pPr>
              <w:pStyle w:val="Compact"/>
            </w:pPr>
            <w:r>
              <w:rPr>
                <w:b/>
                <w:bCs/>
              </w:rPr>
              <w:t xml:space="preserve">30.1</w:t>
            </w:r>
          </w:p>
        </w:tc>
        <w:tc>
          <w:tcPr/>
          <w:p>
            <w:pPr>
              <w:pStyle w:val="Compact"/>
            </w:pPr>
            <w:r>
              <w:t xml:space="preserve">-27.3%</w:t>
            </w:r>
          </w:p>
        </w:tc>
        <w:tc>
          <w:tcPr/>
          <w:p>
            <w:pPr>
              <w:pStyle w:val="Compact"/>
            </w:pPr>
            <w:r>
              <w:t xml:space="preserve">Snook et al. (2021)</w:t>
            </w:r>
          </w:p>
        </w:tc>
      </w:tr>
      <w:tr>
        <w:tc>
          <w:tcPr/>
          <w:p>
            <w:pPr>
              <w:pStyle w:val="Compact"/>
            </w:pPr>
            <w:r>
              <w:t xml:space="preserve">8</w:t>
            </w:r>
          </w:p>
        </w:tc>
        <w:tc>
          <w:tcPr/>
          <w:p>
            <w:pPr>
              <w:pStyle w:val="Compact"/>
            </w:pPr>
            <w:r>
              <w:t xml:space="preserve">Eritrosit (RBC)</w:t>
            </w:r>
          </w:p>
        </w:tc>
        <w:tc>
          <w:tcPr/>
          <w:p>
            <w:pPr>
              <w:pStyle w:val="Compact"/>
            </w:pPr>
            <w:r>
              <w:t xml:space="preserve">4.36–6.12</w:t>
            </w:r>
          </w:p>
        </w:tc>
        <w:tc>
          <w:tcPr/>
          <w:p>
            <w:pPr>
              <w:pStyle w:val="Compact"/>
            </w:pPr>
            <w:r>
              <w:t xml:space="preserve">4.63</w:t>
            </w:r>
          </w:p>
        </w:tc>
        <w:tc>
          <w:tcPr/>
          <w:p>
            <w:pPr>
              <w:pStyle w:val="Compact"/>
            </w:pPr>
            <w:r>
              <w:t xml:space="preserve">2.73</w:t>
            </w:r>
          </w:p>
        </w:tc>
        <w:tc>
          <w:tcPr/>
          <w:p>
            <w:pPr>
              <w:pStyle w:val="Compact"/>
            </w:pPr>
            <w:r>
              <w:rPr>
                <w:b/>
                <w:bCs/>
              </w:rPr>
              <w:t xml:space="preserve">3.93</w:t>
            </w:r>
          </w:p>
        </w:tc>
        <w:tc>
          <w:tcPr/>
          <w:p>
            <w:pPr>
              <w:pStyle w:val="Compact"/>
            </w:pPr>
            <w:r>
              <w:t xml:space="preserve">-15.1%</w:t>
            </w:r>
          </w:p>
        </w:tc>
        <w:tc>
          <w:tcPr/>
          <w:p>
            <w:pPr>
              <w:pStyle w:val="Compact"/>
            </w:pPr>
            <w:r>
              <w:t xml:space="preserve">Camaschella (2015)</w:t>
            </w:r>
          </w:p>
        </w:tc>
      </w:tr>
      <w:tr>
        <w:tc>
          <w:tcPr/>
          <w:p>
            <w:pPr>
              <w:pStyle w:val="Compact"/>
            </w:pPr>
            <w:r>
              <w:t xml:space="preserve">9</w:t>
            </w:r>
          </w:p>
        </w:tc>
        <w:tc>
          <w:tcPr/>
          <w:p>
            <w:pPr>
              <w:pStyle w:val="Compact"/>
            </w:pPr>
            <w:r>
              <w:t xml:space="preserve">MCV</w:t>
            </w:r>
          </w:p>
        </w:tc>
        <w:tc>
          <w:tcPr/>
          <w:p>
            <w:pPr>
              <w:pStyle w:val="Compact"/>
            </w:pPr>
            <w:r>
              <w:t xml:space="preserve">75–98.3 fL</w:t>
            </w:r>
          </w:p>
        </w:tc>
        <w:tc>
          <w:tcPr/>
          <w:p>
            <w:pPr>
              <w:pStyle w:val="Compact"/>
            </w:pPr>
            <w:r>
              <w:t xml:space="preserve">88.0</w:t>
            </w:r>
          </w:p>
        </w:tc>
        <w:tc>
          <w:tcPr/>
          <w:p>
            <w:pPr>
              <w:pStyle w:val="Compact"/>
            </w:pPr>
            <w:r>
              <w:t xml:space="preserve">76.4</w:t>
            </w:r>
          </w:p>
        </w:tc>
        <w:tc>
          <w:tcPr/>
          <w:p>
            <w:pPr>
              <w:pStyle w:val="Compact"/>
            </w:pPr>
            <w:r>
              <w:rPr>
                <w:b/>
                <w:bCs/>
              </w:rPr>
              <w:t xml:space="preserve">76.7</w:t>
            </w:r>
          </w:p>
        </w:tc>
        <w:tc>
          <w:tcPr/>
          <w:p>
            <w:pPr>
              <w:pStyle w:val="Compact"/>
            </w:pPr>
            <w:r>
              <w:t xml:space="preserve">-12.8%</w:t>
            </w:r>
          </w:p>
        </w:tc>
        <w:tc>
          <w:tcPr/>
          <w:p>
            <w:pPr>
              <w:pStyle w:val="Compact"/>
            </w:pPr>
            <w:r>
              <w:t xml:space="preserve">Camaschella (2015)</w:t>
            </w:r>
          </w:p>
        </w:tc>
      </w:tr>
      <w:tr>
        <w:tc>
          <w:tcPr/>
          <w:p>
            <w:pPr>
              <w:pStyle w:val="Compact"/>
            </w:pPr>
            <w:r>
              <w:t xml:space="preserve">10</w:t>
            </w:r>
          </w:p>
        </w:tc>
        <w:tc>
          <w:tcPr/>
          <w:p>
            <w:pPr>
              <w:pStyle w:val="Compact"/>
            </w:pPr>
            <w:r>
              <w:t xml:space="preserve">MCH</w:t>
            </w:r>
          </w:p>
        </w:tc>
        <w:tc>
          <w:tcPr/>
          <w:p>
            <w:pPr>
              <w:pStyle w:val="Compact"/>
            </w:pPr>
            <w:r>
              <w:t xml:space="preserve">23.2–33.2 pg</w:t>
            </w:r>
          </w:p>
        </w:tc>
        <w:tc>
          <w:tcPr/>
          <w:p>
            <w:pPr>
              <w:pStyle w:val="Compact"/>
            </w:pPr>
            <w:r>
              <w:t xml:space="preserve">30.8</w:t>
            </w:r>
          </w:p>
        </w:tc>
        <w:tc>
          <w:tcPr/>
          <w:p>
            <w:pPr>
              <w:pStyle w:val="Compact"/>
            </w:pPr>
            <w:r>
              <w:t xml:space="preserve">24.5</w:t>
            </w:r>
          </w:p>
        </w:tc>
        <w:tc>
          <w:tcPr/>
          <w:p>
            <w:pPr>
              <w:pStyle w:val="Compact"/>
            </w:pPr>
            <w:r>
              <w:rPr>
                <w:b/>
                <w:bCs/>
              </w:rPr>
              <w:t xml:space="preserve">24.6</w:t>
            </w:r>
          </w:p>
        </w:tc>
        <w:tc>
          <w:tcPr/>
          <w:p>
            <w:pPr>
              <w:pStyle w:val="Compact"/>
            </w:pPr>
            <w:r>
              <w:t xml:space="preserve">-20.1%</w:t>
            </w:r>
          </w:p>
        </w:tc>
        <w:tc>
          <w:tcPr/>
          <w:p>
            <w:pPr>
              <w:pStyle w:val="Compact"/>
            </w:pPr>
            <w:r>
              <w:t xml:space="preserve">Camaschella (2015)</w:t>
            </w:r>
          </w:p>
        </w:tc>
      </w:tr>
      <w:tr>
        <w:tc>
          <w:tcPr/>
          <w:p>
            <w:pPr>
              <w:pStyle w:val="Compact"/>
            </w:pPr>
            <w:r>
              <w:t xml:space="preserve">11</w:t>
            </w:r>
          </w:p>
        </w:tc>
        <w:tc>
          <w:tcPr/>
          <w:p>
            <w:pPr>
              <w:pStyle w:val="Compact"/>
            </w:pPr>
            <w:r>
              <w:t xml:space="preserve">MCHC</w:t>
            </w:r>
          </w:p>
        </w:tc>
        <w:tc>
          <w:tcPr/>
          <w:p>
            <w:pPr>
              <w:pStyle w:val="Compact"/>
            </w:pPr>
            <w:r>
              <w:t xml:space="preserve">31.3–34.8 g/dL</w:t>
            </w:r>
          </w:p>
        </w:tc>
        <w:tc>
          <w:tcPr/>
          <w:p>
            <w:pPr>
              <w:pStyle w:val="Compact"/>
            </w:pPr>
            <w:r>
              <w:t xml:space="preserve">35.1</w:t>
            </w:r>
          </w:p>
        </w:tc>
        <w:tc>
          <w:tcPr/>
          <w:p>
            <w:pPr>
              <w:pStyle w:val="Compact"/>
            </w:pPr>
            <w:r>
              <w:t xml:space="preserve">30.1</w:t>
            </w:r>
          </w:p>
        </w:tc>
        <w:tc>
          <w:tcPr/>
          <w:p>
            <w:pPr>
              <w:pStyle w:val="Compact"/>
            </w:pPr>
            <w:r>
              <w:rPr>
                <w:b/>
                <w:bCs/>
              </w:rPr>
              <w:t xml:space="preserve">32.2</w:t>
            </w:r>
          </w:p>
        </w:tc>
        <w:tc>
          <w:tcPr/>
          <w:p>
            <w:pPr>
              <w:pStyle w:val="Compact"/>
            </w:pPr>
            <w:r>
              <w:t xml:space="preserve">-8.3%</w:t>
            </w:r>
          </w:p>
        </w:tc>
        <w:tc>
          <w:tcPr/>
          <w:p>
            <w:pPr>
              <w:pStyle w:val="Compact"/>
            </w:pPr>
            <w:r>
              <w:t xml:space="preserve">Camaschella (2015)</w:t>
            </w:r>
          </w:p>
        </w:tc>
      </w:tr>
      <w:tr>
        <w:tc>
          <w:tcPr/>
          <w:p>
            <w:pPr>
              <w:pStyle w:val="Compact"/>
            </w:pPr>
            <w:r>
              <w:t xml:space="preserve">12</w:t>
            </w:r>
          </w:p>
        </w:tc>
        <w:tc>
          <w:tcPr/>
          <w:p>
            <w:pPr>
              <w:pStyle w:val="Compact"/>
            </w:pPr>
            <w:r>
              <w:t xml:space="preserve">RDW-CV</w:t>
            </w:r>
          </w:p>
        </w:tc>
        <w:tc>
          <w:tcPr/>
          <w:p>
            <w:pPr>
              <w:pStyle w:val="Compact"/>
            </w:pPr>
            <w:r>
              <w:t xml:space="preserve">11.7–15.3 %</w:t>
            </w:r>
          </w:p>
        </w:tc>
        <w:tc>
          <w:tcPr/>
          <w:p>
            <w:pPr>
              <w:pStyle w:val="Compact"/>
            </w:pPr>
            <w:r>
              <w:t xml:space="preserve">13.9</w:t>
            </w:r>
          </w:p>
        </w:tc>
        <w:tc>
          <w:tcPr/>
          <w:p>
            <w:pPr>
              <w:pStyle w:val="Compact"/>
            </w:pPr>
            <w:r>
              <w:t xml:space="preserve">20.2</w:t>
            </w:r>
          </w:p>
        </w:tc>
        <w:tc>
          <w:tcPr/>
          <w:p>
            <w:pPr>
              <w:pStyle w:val="Compact"/>
            </w:pPr>
            <w:r>
              <w:rPr>
                <w:b/>
                <w:bCs/>
              </w:rPr>
              <w:t xml:space="preserve">18.2</w:t>
            </w:r>
          </w:p>
        </w:tc>
        <w:tc>
          <w:tcPr/>
          <w:p>
            <w:pPr>
              <w:pStyle w:val="Compact"/>
            </w:pPr>
            <w:r>
              <w:t xml:space="preserve">+30.9%</w:t>
            </w:r>
          </w:p>
        </w:tc>
        <w:tc>
          <w:tcPr/>
          <w:p>
            <w:pPr>
              <w:pStyle w:val="Compact"/>
            </w:pPr>
            <w:r>
              <w:t xml:space="preserve">Camaschella (2015)</w:t>
            </w:r>
          </w:p>
        </w:tc>
      </w:tr>
      <w:tr>
        <w:tc>
          <w:tcPr/>
          <w:p>
            <w:pPr>
              <w:pStyle w:val="Compact"/>
            </w:pPr>
            <w:r>
              <w:t xml:space="preserve">13</w:t>
            </w:r>
          </w:p>
        </w:tc>
        <w:tc>
          <w:tcPr/>
          <w:p>
            <w:pPr>
              <w:pStyle w:val="Compact"/>
            </w:pPr>
            <w:r>
              <w:t xml:space="preserve">RDW-SD</w:t>
            </w:r>
          </w:p>
        </w:tc>
        <w:tc>
          <w:tcPr/>
          <w:p>
            <w:pPr>
              <w:pStyle w:val="Compact"/>
            </w:pPr>
            <w:r>
              <w:t xml:space="preserve">38.4–47.6 fL</w:t>
            </w:r>
          </w:p>
        </w:tc>
        <w:tc>
          <w:tcPr/>
          <w:p>
            <w:pPr>
              <w:pStyle w:val="Compact"/>
            </w:pPr>
            <w:r>
              <w:t xml:space="preserve">45.7</w:t>
            </w:r>
          </w:p>
        </w:tc>
        <w:tc>
          <w:tcPr/>
          <w:p>
            <w:pPr>
              <w:pStyle w:val="Compact"/>
            </w:pPr>
            <w:r>
              <w:t xml:space="preserve">61.2</w:t>
            </w:r>
          </w:p>
        </w:tc>
        <w:tc>
          <w:tcPr/>
          <w:p>
            <w:pPr>
              <w:pStyle w:val="Compact"/>
            </w:pPr>
            <w:r>
              <w:rPr>
                <w:b/>
                <w:bCs/>
              </w:rPr>
              <w:t xml:space="preserve">51.8</w:t>
            </w:r>
          </w:p>
        </w:tc>
        <w:tc>
          <w:tcPr/>
          <w:p>
            <w:pPr>
              <w:pStyle w:val="Compact"/>
            </w:pPr>
            <w:r>
              <w:t xml:space="preserve">+13.3%</w:t>
            </w:r>
          </w:p>
        </w:tc>
        <w:tc>
          <w:tcPr/>
          <w:p>
            <w:pPr>
              <w:pStyle w:val="Compact"/>
            </w:pPr>
            <w:r>
              <w:t xml:space="preserve">Camaschella (2015)</w:t>
            </w:r>
          </w:p>
        </w:tc>
      </w:tr>
      <w:tr>
        <w:tc>
          <w:tcPr/>
          <w:p>
            <w:pPr>
              <w:pStyle w:val="Compact"/>
            </w:pPr>
            <w:r>
              <w:t xml:space="preserve">14</w:t>
            </w:r>
          </w:p>
        </w:tc>
        <w:tc>
          <w:tcPr/>
          <w:p>
            <w:pPr>
              <w:pStyle w:val="Compact"/>
            </w:pPr>
            <w:r>
              <w:t xml:space="preserve">Ferritin</w:t>
            </w:r>
          </w:p>
        </w:tc>
        <w:tc>
          <w:tcPr/>
          <w:p>
            <w:pPr>
              <w:pStyle w:val="Compact"/>
            </w:pPr>
            <w:r>
              <w:t xml:space="preserve">30–400 µg/L</w:t>
            </w:r>
          </w:p>
        </w:tc>
        <w:tc>
          <w:tcPr/>
          <w:p>
            <w:pPr>
              <w:pStyle w:val="Compact"/>
            </w:pPr>
            <w:r>
              <w:t xml:space="preserve">19.0</w:t>
            </w:r>
          </w:p>
        </w:tc>
        <w:tc>
          <w:tcPr/>
          <w:p>
            <w:pPr>
              <w:pStyle w:val="Compact"/>
            </w:pPr>
            <w:r>
              <w:t xml:space="preserve">19.0</w:t>
            </w:r>
          </w:p>
        </w:tc>
        <w:tc>
          <w:tcPr/>
          <w:p>
            <w:pPr>
              <w:pStyle w:val="Compact"/>
            </w:pPr>
            <w:r>
              <w:rPr>
                <w:b/>
                <w:bCs/>
              </w:rPr>
              <w:t xml:space="preserve">19.0</w:t>
            </w:r>
          </w:p>
        </w:tc>
        <w:tc>
          <w:tcPr/>
          <w:p>
            <w:pPr>
              <w:pStyle w:val="Compact"/>
            </w:pPr>
            <w:r>
              <w:t xml:space="preserve">0%</w:t>
            </w:r>
          </w:p>
        </w:tc>
        <w:tc>
          <w:tcPr/>
          <w:p>
            <w:pPr>
              <w:pStyle w:val="Compact"/>
            </w:pPr>
            <w:r>
              <w:t xml:space="preserve">Camaschella (2015)</w:t>
            </w:r>
          </w:p>
        </w:tc>
      </w:tr>
      <w:tr>
        <w:tc>
          <w:tcPr/>
          <w:p>
            <w:pPr>
              <w:pStyle w:val="Compact"/>
            </w:pPr>
            <w:r>
              <w:t xml:space="preserve">15</w:t>
            </w:r>
          </w:p>
        </w:tc>
        <w:tc>
          <w:tcPr/>
          <w:p>
            <w:pPr>
              <w:pStyle w:val="Compact"/>
            </w:pPr>
            <w:r>
              <w:t xml:space="preserve">Serum Demir (Fe)</w:t>
            </w:r>
          </w:p>
        </w:tc>
        <w:tc>
          <w:tcPr/>
          <w:p>
            <w:pPr>
              <w:pStyle w:val="Compact"/>
            </w:pPr>
            <w:r>
              <w:t xml:space="preserve">59–158 µg/dL</w:t>
            </w:r>
          </w:p>
        </w:tc>
        <w:tc>
          <w:tcPr/>
          <w:p>
            <w:pPr>
              <w:pStyle w:val="Compact"/>
            </w:pPr>
            <w:r>
              <w:t xml:space="preserve">15.0</w:t>
            </w:r>
          </w:p>
        </w:tc>
        <w:tc>
          <w:tcPr/>
          <w:p>
            <w:pPr>
              <w:pStyle w:val="Compact"/>
            </w:pPr>
            <w:r>
              <w:t xml:space="preserve">15.0</w:t>
            </w:r>
          </w:p>
        </w:tc>
        <w:tc>
          <w:tcPr/>
          <w:p>
            <w:pPr>
              <w:pStyle w:val="Compact"/>
            </w:pPr>
            <w:r>
              <w:rPr>
                <w:b/>
                <w:bCs/>
              </w:rPr>
              <w:t xml:space="preserve">15.0</w:t>
            </w:r>
          </w:p>
        </w:tc>
        <w:tc>
          <w:tcPr/>
          <w:p>
            <w:pPr>
              <w:pStyle w:val="Compact"/>
            </w:pPr>
            <w:r>
              <w:t xml:space="preserve">0%</w:t>
            </w:r>
          </w:p>
        </w:tc>
        <w:tc>
          <w:tcPr/>
          <w:p>
            <w:pPr>
              <w:pStyle w:val="Compact"/>
            </w:pPr>
            <w:r>
              <w:t xml:space="preserve">Snook et al. (2021)</w:t>
            </w:r>
          </w:p>
        </w:tc>
      </w:tr>
      <w:tr>
        <w:tc>
          <w:tcPr/>
          <w:p>
            <w:pPr>
              <w:pStyle w:val="Compact"/>
            </w:pPr>
            <w:r>
              <w:t xml:space="preserve">16</w:t>
            </w:r>
          </w:p>
        </w:tc>
        <w:tc>
          <w:tcPr/>
          <w:p>
            <w:pPr>
              <w:pStyle w:val="Compact"/>
            </w:pPr>
            <w:r>
              <w:t xml:space="preserve">UIBC</w:t>
            </w:r>
          </w:p>
        </w:tc>
        <w:tc>
          <w:tcPr/>
          <w:p>
            <w:pPr>
              <w:pStyle w:val="Compact"/>
            </w:pPr>
            <w:r>
              <w:t xml:space="preserve">110–370 µg/dL</w:t>
            </w:r>
          </w:p>
        </w:tc>
        <w:tc>
          <w:tcPr/>
          <w:p>
            <w:pPr>
              <w:pStyle w:val="Compact"/>
            </w:pPr>
            <w:r>
              <w:t xml:space="preserve">326.8</w:t>
            </w:r>
          </w:p>
        </w:tc>
        <w:tc>
          <w:tcPr/>
          <w:p>
            <w:pPr>
              <w:pStyle w:val="Compact"/>
            </w:pPr>
            <w:r>
              <w:t xml:space="preserve">326.8</w:t>
            </w:r>
          </w:p>
        </w:tc>
        <w:tc>
          <w:tcPr/>
          <w:p>
            <w:pPr>
              <w:pStyle w:val="Compact"/>
            </w:pPr>
            <w:r>
              <w:rPr>
                <w:b/>
                <w:bCs/>
              </w:rPr>
              <w:t xml:space="preserve">326.8</w:t>
            </w:r>
          </w:p>
        </w:tc>
        <w:tc>
          <w:tcPr/>
          <w:p>
            <w:pPr>
              <w:pStyle w:val="Compact"/>
            </w:pPr>
            <w:r>
              <w:t xml:space="preserve">0%</w:t>
            </w:r>
          </w:p>
        </w:tc>
        <w:tc>
          <w:tcPr/>
          <w:p>
            <w:pPr>
              <w:pStyle w:val="Compact"/>
            </w:pPr>
            <w:r>
              <w:t xml:space="preserve">Snook et al. (2021)</w:t>
            </w:r>
          </w:p>
        </w:tc>
      </w:tr>
      <w:tr>
        <w:tc>
          <w:tcPr/>
          <w:p>
            <w:pPr>
              <w:pStyle w:val="Compact"/>
            </w:pPr>
            <w:r>
              <w:t xml:space="preserve">17</w:t>
            </w:r>
          </w:p>
        </w:tc>
        <w:tc>
          <w:tcPr/>
          <w:p>
            <w:pPr>
              <w:pStyle w:val="Compact"/>
            </w:pPr>
            <w:r>
              <w:t xml:space="preserve">Trombosit (PLT)</w:t>
            </w:r>
          </w:p>
        </w:tc>
        <w:tc>
          <w:tcPr/>
          <w:p>
            <w:pPr>
              <w:pStyle w:val="Compact"/>
            </w:pPr>
            <w:r>
              <w:t xml:space="preserve">151–387 ×10⁹/L</w:t>
            </w:r>
          </w:p>
        </w:tc>
        <w:tc>
          <w:tcPr/>
          <w:p>
            <w:pPr>
              <w:pStyle w:val="Compact"/>
            </w:pPr>
            <w:r>
              <w:t xml:space="preserve">163</w:t>
            </w:r>
          </w:p>
        </w:tc>
        <w:tc>
          <w:tcPr/>
          <w:p>
            <w:pPr>
              <w:pStyle w:val="Compact"/>
            </w:pPr>
            <w:r>
              <w:t xml:space="preserve">489</w:t>
            </w:r>
          </w:p>
        </w:tc>
        <w:tc>
          <w:tcPr/>
          <w:p>
            <w:pPr>
              <w:pStyle w:val="Compact"/>
            </w:pPr>
            <w:r>
              <w:rPr>
                <w:b/>
                <w:bCs/>
              </w:rPr>
              <w:t xml:space="preserve">368</w:t>
            </w:r>
          </w:p>
        </w:tc>
        <w:tc>
          <w:tcPr/>
          <w:p>
            <w:pPr>
              <w:pStyle w:val="Compact"/>
            </w:pPr>
            <w:r>
              <w:t xml:space="preserve">+125.8%</w:t>
            </w:r>
          </w:p>
        </w:tc>
        <w:tc>
          <w:tcPr/>
          <w:p>
            <w:pPr>
              <w:pStyle w:val="Compact"/>
            </w:pPr>
            <w:r>
              <w:t xml:space="preserve">Vahanian et al. (2022)</w:t>
            </w:r>
          </w:p>
        </w:tc>
      </w:tr>
      <w:tr>
        <w:tc>
          <w:tcPr/>
          <w:p>
            <w:pPr>
              <w:pStyle w:val="Compact"/>
            </w:pPr>
            <w:r>
              <w:t xml:space="preserve">18</w:t>
            </w:r>
          </w:p>
        </w:tc>
        <w:tc>
          <w:tcPr/>
          <w:p>
            <w:pPr>
              <w:pStyle w:val="Compact"/>
            </w:pPr>
            <w:r>
              <w:t xml:space="preserve">Lökosit (WBC)</w:t>
            </w:r>
          </w:p>
        </w:tc>
        <w:tc>
          <w:tcPr/>
          <w:p>
            <w:pPr>
              <w:pStyle w:val="Compact"/>
            </w:pPr>
            <w:r>
              <w:t xml:space="preserve">4.01–9.75 ×10⁹/L</w:t>
            </w:r>
          </w:p>
        </w:tc>
        <w:tc>
          <w:tcPr/>
          <w:p>
            <w:pPr>
              <w:pStyle w:val="Compact"/>
            </w:pPr>
            <w:r>
              <w:t xml:space="preserve">10.62</w:t>
            </w:r>
          </w:p>
        </w:tc>
        <w:tc>
          <w:tcPr/>
          <w:p>
            <w:pPr>
              <w:pStyle w:val="Compact"/>
            </w:pPr>
            <w:r>
              <w:t xml:space="preserve">27.10</w:t>
            </w:r>
          </w:p>
        </w:tc>
        <w:tc>
          <w:tcPr/>
          <w:p>
            <w:pPr>
              <w:pStyle w:val="Compact"/>
            </w:pPr>
            <w:r>
              <w:rPr>
                <w:b/>
                <w:bCs/>
              </w:rPr>
              <w:t xml:space="preserve">9.01</w:t>
            </w:r>
          </w:p>
        </w:tc>
        <w:tc>
          <w:tcPr/>
          <w:p>
            <w:pPr>
              <w:pStyle w:val="Compact"/>
            </w:pPr>
            <w:r>
              <w:t xml:space="preserve">-15.2%</w:t>
            </w:r>
          </w:p>
        </w:tc>
        <w:tc>
          <w:tcPr/>
          <w:p>
            <w:pPr>
              <w:pStyle w:val="Compact"/>
            </w:pPr>
            <w:r>
              <w:t xml:space="preserve">Horan et al. (2008)</w:t>
            </w:r>
          </w:p>
        </w:tc>
      </w:tr>
      <w:tr>
        <w:tc>
          <w:tcPr/>
          <w:p>
            <w:pPr>
              <w:pStyle w:val="Compact"/>
            </w:pPr>
            <w:r>
              <w:t xml:space="preserve">19</w:t>
            </w:r>
          </w:p>
        </w:tc>
        <w:tc>
          <w:tcPr/>
          <w:p>
            <w:pPr>
              <w:pStyle w:val="Compact"/>
            </w:pPr>
            <w:r>
              <w:t xml:space="preserve">Lenfosit (LYM#)</w:t>
            </w:r>
          </w:p>
        </w:tc>
        <w:tc>
          <w:tcPr/>
          <w:p>
            <w:pPr>
              <w:pStyle w:val="Compact"/>
            </w:pPr>
            <w:r>
              <w:t xml:space="preserve">1.15–3.43 ×10⁹/L</w:t>
            </w:r>
          </w:p>
        </w:tc>
        <w:tc>
          <w:tcPr/>
          <w:p>
            <w:pPr>
              <w:pStyle w:val="Compact"/>
            </w:pPr>
            <w:r>
              <w:t xml:space="preserve">1.68</w:t>
            </w:r>
          </w:p>
        </w:tc>
        <w:tc>
          <w:tcPr/>
          <w:p>
            <w:pPr>
              <w:pStyle w:val="Compact"/>
            </w:pPr>
            <w:r>
              <w:t xml:space="preserve">4.43</w:t>
            </w:r>
          </w:p>
        </w:tc>
        <w:tc>
          <w:tcPr/>
          <w:p>
            <w:pPr>
              <w:pStyle w:val="Compact"/>
            </w:pPr>
            <w:r>
              <w:rPr>
                <w:b/>
                <w:bCs/>
              </w:rPr>
              <w:t xml:space="preserve">3.88</w:t>
            </w:r>
          </w:p>
        </w:tc>
        <w:tc>
          <w:tcPr/>
          <w:p>
            <w:pPr>
              <w:pStyle w:val="Compact"/>
            </w:pPr>
            <w:r>
              <w:t xml:space="preserve">+131.0%</w:t>
            </w:r>
          </w:p>
        </w:tc>
        <w:tc>
          <w:tcPr/>
          <w:p>
            <w:pPr>
              <w:pStyle w:val="Compact"/>
            </w:pPr>
            <w:r>
              <w:t xml:space="preserve">Horan et al. (2008)</w:t>
            </w:r>
          </w:p>
        </w:tc>
      </w:tr>
      <w:tr>
        <w:tc>
          <w:tcPr/>
          <w:p>
            <w:pPr>
              <w:pStyle w:val="Compact"/>
            </w:pPr>
            <w:r>
              <w:t xml:space="preserve">20</w:t>
            </w:r>
          </w:p>
        </w:tc>
        <w:tc>
          <w:tcPr/>
          <w:p>
            <w:pPr>
              <w:pStyle w:val="Compact"/>
            </w:pPr>
            <w:r>
              <w:t xml:space="preserve">NLR</w:t>
            </w:r>
          </w:p>
        </w:tc>
        <w:tc>
          <w:tcPr/>
          <w:p>
            <w:pPr>
              <w:pStyle w:val="Compact"/>
            </w:pPr>
            <w:r>
              <w:t xml:space="preserve">0.5–2.5</w:t>
            </w:r>
          </w:p>
        </w:tc>
        <w:tc>
          <w:tcPr/>
          <w:p>
            <w:pPr>
              <w:pStyle w:val="Compact"/>
            </w:pPr>
            <w:r>
              <w:t xml:space="preserve">1.47</w:t>
            </w:r>
          </w:p>
        </w:tc>
        <w:tc>
          <w:tcPr/>
          <w:p>
            <w:pPr>
              <w:pStyle w:val="Compact"/>
            </w:pPr>
            <w:r>
              <w:t xml:space="preserve">1.47</w:t>
            </w:r>
          </w:p>
        </w:tc>
        <w:tc>
          <w:tcPr/>
          <w:p>
            <w:pPr>
              <w:pStyle w:val="Compact"/>
            </w:pPr>
            <w:r>
              <w:rPr>
                <w:b/>
                <w:bCs/>
              </w:rPr>
              <w:t xml:space="preserve">1.16</w:t>
            </w:r>
          </w:p>
        </w:tc>
        <w:tc>
          <w:tcPr/>
          <w:p>
            <w:pPr>
              <w:pStyle w:val="Compact"/>
            </w:pPr>
            <w:r>
              <w:t xml:space="preserve">-21.1%</w:t>
            </w:r>
          </w:p>
        </w:tc>
        <w:tc>
          <w:tcPr/>
          <w:p>
            <w:pPr>
              <w:pStyle w:val="Compact"/>
            </w:pPr>
            <w:r>
              <w:t xml:space="preserve">Horan et al. (2008)</w:t>
            </w:r>
          </w:p>
        </w:tc>
      </w:tr>
      <w:tr>
        <w:tc>
          <w:tcPr/>
          <w:p>
            <w:pPr>
              <w:pStyle w:val="Compact"/>
            </w:pPr>
            <w:r>
              <w:t xml:space="preserve">21</w:t>
            </w:r>
          </w:p>
        </w:tc>
        <w:tc>
          <w:tcPr/>
          <w:p>
            <w:pPr>
              <w:pStyle w:val="Compact"/>
            </w:pPr>
            <w:r>
              <w:t xml:space="preserve">CRP</w:t>
            </w:r>
          </w:p>
        </w:tc>
        <w:tc>
          <w:tcPr/>
          <w:p>
            <w:pPr>
              <w:pStyle w:val="Compact"/>
            </w:pPr>
            <w:r>
              <w:t xml:space="preserve">0–5.0 mg/L</w:t>
            </w:r>
          </w:p>
        </w:tc>
        <w:tc>
          <w:tcPr/>
          <w:p>
            <w:pPr>
              <w:pStyle w:val="Compact"/>
            </w:pPr>
            <w:r>
              <w:t xml:space="preserve">2.6</w:t>
            </w:r>
          </w:p>
        </w:tc>
        <w:tc>
          <w:tcPr/>
          <w:p>
            <w:pPr>
              <w:pStyle w:val="Compact"/>
            </w:pPr>
            <w:r>
              <w:t xml:space="preserve">154.0</w:t>
            </w:r>
          </w:p>
        </w:tc>
        <w:tc>
          <w:tcPr/>
          <w:p>
            <w:pPr>
              <w:pStyle w:val="Compact"/>
            </w:pPr>
            <w:r>
              <w:rPr>
                <w:b/>
                <w:bCs/>
              </w:rPr>
              <w:t xml:space="preserve">5.7</w:t>
            </w:r>
          </w:p>
        </w:tc>
        <w:tc>
          <w:tcPr/>
          <w:p>
            <w:pPr>
              <w:pStyle w:val="Compact"/>
            </w:pPr>
            <w:r>
              <w:t xml:space="preserve">+119.2%</w:t>
            </w:r>
          </w:p>
        </w:tc>
        <w:tc>
          <w:tcPr/>
          <w:p>
            <w:pPr>
              <w:pStyle w:val="Compact"/>
            </w:pPr>
            <w:r>
              <w:t xml:space="preserve">Horan et al. (2008)</w:t>
            </w:r>
          </w:p>
        </w:tc>
      </w:tr>
      <w:tr>
        <w:tc>
          <w:tcPr/>
          <w:p>
            <w:pPr>
              <w:pStyle w:val="Compact"/>
            </w:pPr>
            <w:r>
              <w:t xml:space="preserve">22</w:t>
            </w:r>
          </w:p>
        </w:tc>
        <w:tc>
          <w:tcPr/>
          <w:p>
            <w:pPr>
              <w:pStyle w:val="Compact"/>
            </w:pPr>
            <w:r>
              <w:t xml:space="preserve">Sedimantasyon</w:t>
            </w:r>
          </w:p>
        </w:tc>
        <w:tc>
          <w:tcPr/>
          <w:p>
            <w:pPr>
              <w:pStyle w:val="Compact"/>
            </w:pPr>
            <w:r>
              <w:t xml:space="preserve">0–20 mm/saat</w:t>
            </w:r>
          </w:p>
        </w:tc>
        <w:tc>
          <w:tcPr/>
          <w:p>
            <w:pPr>
              <w:pStyle w:val="Compact"/>
            </w:pPr>
            <w:r>
              <w:t xml:space="preserve">61</w:t>
            </w:r>
          </w:p>
        </w:tc>
        <w:tc>
          <w:tcPr/>
          <w:p>
            <w:pPr>
              <w:pStyle w:val="Compact"/>
            </w:pPr>
            <w:r>
              <w:t xml:space="preserve">61</w:t>
            </w:r>
          </w:p>
        </w:tc>
        <w:tc>
          <w:tcPr/>
          <w:p>
            <w:pPr>
              <w:pStyle w:val="Compact"/>
            </w:pPr>
            <w:r>
              <w:rPr>
                <w:b/>
                <w:bCs/>
              </w:rPr>
              <w:t xml:space="preserve">46</w:t>
            </w:r>
          </w:p>
        </w:tc>
        <w:tc>
          <w:tcPr/>
          <w:p>
            <w:pPr>
              <w:pStyle w:val="Compact"/>
            </w:pPr>
            <w:r>
              <w:t xml:space="preserve">-24.6%</w:t>
            </w:r>
          </w:p>
        </w:tc>
        <w:tc>
          <w:tcPr/>
          <w:p>
            <w:pPr>
              <w:pStyle w:val="Compact"/>
            </w:pPr>
            <w:r>
              <w:t xml:space="preserve">Horan et al. (2008)</w:t>
            </w:r>
          </w:p>
        </w:tc>
      </w:tr>
      <w:tr>
        <w:tc>
          <w:tcPr/>
          <w:p>
            <w:pPr>
              <w:pStyle w:val="Compact"/>
            </w:pPr>
            <w:r>
              <w:t xml:space="preserve">23</w:t>
            </w:r>
          </w:p>
        </w:tc>
        <w:tc>
          <w:tcPr/>
          <w:p>
            <w:pPr>
              <w:pStyle w:val="Compact"/>
            </w:pPr>
            <w:r>
              <w:t xml:space="preserve">Kreatinin</w:t>
            </w:r>
          </w:p>
        </w:tc>
        <w:tc>
          <w:tcPr/>
          <w:p>
            <w:pPr>
              <w:pStyle w:val="Compact"/>
            </w:pPr>
            <w:r>
              <w:t xml:space="preserve">0.7–1.2 mg/dL</w:t>
            </w:r>
          </w:p>
        </w:tc>
        <w:tc>
          <w:tcPr/>
          <w:p>
            <w:pPr>
              <w:pStyle w:val="Compact"/>
            </w:pPr>
            <w:r>
              <w:t xml:space="preserve">1.11</w:t>
            </w:r>
          </w:p>
        </w:tc>
        <w:tc>
          <w:tcPr/>
          <w:p>
            <w:pPr>
              <w:pStyle w:val="Compact"/>
            </w:pPr>
            <w:r>
              <w:t xml:space="preserve">1.13</w:t>
            </w:r>
          </w:p>
        </w:tc>
        <w:tc>
          <w:tcPr/>
          <w:p>
            <w:pPr>
              <w:pStyle w:val="Compact"/>
            </w:pPr>
            <w:r>
              <w:rPr>
                <w:b/>
                <w:bCs/>
              </w:rPr>
              <w:t xml:space="preserve">1.11</w:t>
            </w:r>
          </w:p>
        </w:tc>
        <w:tc>
          <w:tcPr/>
          <w:p>
            <w:pPr>
              <w:pStyle w:val="Compact"/>
            </w:pPr>
            <w:r>
              <w:t xml:space="preserve">0%</w:t>
            </w:r>
          </w:p>
        </w:tc>
        <w:tc>
          <w:tcPr/>
          <w:p>
            <w:pPr>
              <w:pStyle w:val="Compact"/>
            </w:pPr>
            <w:r>
              <w:t xml:space="preserve">KDIGO (2013)</w:t>
            </w:r>
          </w:p>
        </w:tc>
      </w:tr>
      <w:tr>
        <w:tc>
          <w:tcPr/>
          <w:p>
            <w:pPr>
              <w:pStyle w:val="Compact"/>
            </w:pPr>
            <w:r>
              <w:t xml:space="preserve">24</w:t>
            </w:r>
          </w:p>
        </w:tc>
        <w:tc>
          <w:tcPr/>
          <w:p>
            <w:pPr>
              <w:pStyle w:val="Compact"/>
            </w:pPr>
            <w:r>
              <w:t xml:space="preserve">eGFR (CKD-EPI)</w:t>
            </w:r>
          </w:p>
        </w:tc>
        <w:tc>
          <w:tcPr/>
          <w:p>
            <w:pPr>
              <w:pStyle w:val="Compact"/>
            </w:pPr>
            <w:r>
              <w:t xml:space="preserve">&gt;60 mL/dk</w:t>
            </w:r>
          </w:p>
        </w:tc>
        <w:tc>
          <w:tcPr/>
          <w:p>
            <w:pPr>
              <w:pStyle w:val="Compact"/>
            </w:pPr>
            <w:r>
              <w:t xml:space="preserve">72.58</w:t>
            </w:r>
          </w:p>
        </w:tc>
        <w:tc>
          <w:tcPr/>
          <w:p>
            <w:pPr>
              <w:pStyle w:val="Compact"/>
            </w:pPr>
            <w:r>
              <w:t xml:space="preserve">94.0</w:t>
            </w:r>
          </w:p>
        </w:tc>
        <w:tc>
          <w:tcPr/>
          <w:p>
            <w:pPr>
              <w:pStyle w:val="Compact"/>
            </w:pPr>
            <w:r>
              <w:rPr>
                <w:b/>
                <w:bCs/>
              </w:rPr>
              <w:t xml:space="preserve">70.89</w:t>
            </w:r>
          </w:p>
        </w:tc>
        <w:tc>
          <w:tcPr/>
          <w:p>
            <w:pPr>
              <w:pStyle w:val="Compact"/>
            </w:pPr>
            <w:r>
              <w:t xml:space="preserve">-2.3%</w:t>
            </w:r>
          </w:p>
        </w:tc>
        <w:tc>
          <w:tcPr/>
          <w:p>
            <w:pPr>
              <w:pStyle w:val="Compact"/>
            </w:pPr>
            <w:r>
              <w:t xml:space="preserve">Inker et al. (2021)</w:t>
            </w:r>
          </w:p>
        </w:tc>
      </w:tr>
      <w:tr>
        <w:tc>
          <w:tcPr/>
          <w:p>
            <w:pPr>
              <w:pStyle w:val="Compact"/>
            </w:pPr>
            <w:r>
              <w:t xml:space="preserve">25</w:t>
            </w:r>
          </w:p>
        </w:tc>
        <w:tc>
          <w:tcPr/>
          <w:p>
            <w:pPr>
              <w:pStyle w:val="Compact"/>
            </w:pPr>
            <w:r>
              <w:t xml:space="preserve">BUN</w:t>
            </w:r>
          </w:p>
        </w:tc>
        <w:tc>
          <w:tcPr/>
          <w:p>
            <w:pPr>
              <w:pStyle w:val="Compact"/>
            </w:pPr>
            <w:r>
              <w:t xml:space="preserve">7–20 mg/dL</w:t>
            </w:r>
          </w:p>
        </w:tc>
        <w:tc>
          <w:tcPr/>
          <w:p>
            <w:pPr>
              <w:pStyle w:val="Compact"/>
            </w:pPr>
            <w:r>
              <w:t xml:space="preserve">18.3</w:t>
            </w:r>
          </w:p>
        </w:tc>
        <w:tc>
          <w:tcPr/>
          <w:p>
            <w:pPr>
              <w:pStyle w:val="Compact"/>
            </w:pPr>
            <w:r>
              <w:t xml:space="preserve">29.0</w:t>
            </w:r>
          </w:p>
        </w:tc>
        <w:tc>
          <w:tcPr/>
          <w:p>
            <w:pPr>
              <w:pStyle w:val="Compact"/>
            </w:pPr>
            <w:r>
              <w:rPr>
                <w:b/>
                <w:bCs/>
              </w:rPr>
              <w:t xml:space="preserve">14.5</w:t>
            </w:r>
          </w:p>
        </w:tc>
        <w:tc>
          <w:tcPr/>
          <w:p>
            <w:pPr>
              <w:pStyle w:val="Compact"/>
            </w:pPr>
            <w:r>
              <w:t xml:space="preserve">-20.8%</w:t>
            </w:r>
          </w:p>
        </w:tc>
        <w:tc>
          <w:tcPr/>
          <w:p>
            <w:pPr>
              <w:pStyle w:val="Compact"/>
            </w:pPr>
            <w:r>
              <w:t xml:space="preserve">KDIGO (2013)</w:t>
            </w:r>
          </w:p>
        </w:tc>
      </w:tr>
      <w:tr>
        <w:tc>
          <w:tcPr/>
          <w:p>
            <w:pPr>
              <w:pStyle w:val="Compact"/>
            </w:pPr>
            <w:r>
              <w:t xml:space="preserve">26</w:t>
            </w:r>
          </w:p>
        </w:tc>
        <w:tc>
          <w:tcPr/>
          <w:p>
            <w:pPr>
              <w:pStyle w:val="Compact"/>
            </w:pPr>
            <w:r>
              <w:t xml:space="preserve">Sodyum</w:t>
            </w:r>
          </w:p>
        </w:tc>
        <w:tc>
          <w:tcPr/>
          <w:p>
            <w:pPr>
              <w:pStyle w:val="Compact"/>
            </w:pPr>
            <w:r>
              <w:t xml:space="preserve">136–145 mmol/L</w:t>
            </w:r>
          </w:p>
        </w:tc>
        <w:tc>
          <w:tcPr/>
          <w:p>
            <w:pPr>
              <w:pStyle w:val="Compact"/>
            </w:pPr>
            <w:r>
              <w:t xml:space="preserve">136</w:t>
            </w:r>
          </w:p>
        </w:tc>
        <w:tc>
          <w:tcPr/>
          <w:p>
            <w:pPr>
              <w:pStyle w:val="Compact"/>
            </w:pPr>
            <w:r>
              <w:t xml:space="preserve">149</w:t>
            </w:r>
          </w:p>
        </w:tc>
        <w:tc>
          <w:tcPr/>
          <w:p>
            <w:pPr>
              <w:pStyle w:val="Compact"/>
            </w:pPr>
            <w:r>
              <w:rPr>
                <w:b/>
                <w:bCs/>
              </w:rPr>
              <w:t xml:space="preserve">138</w:t>
            </w:r>
          </w:p>
        </w:tc>
        <w:tc>
          <w:tcPr/>
          <w:p>
            <w:pPr>
              <w:pStyle w:val="Compact"/>
            </w:pPr>
            <w:r>
              <w:t xml:space="preserve">+1.5%</w:t>
            </w:r>
          </w:p>
        </w:tc>
        <w:tc>
          <w:tcPr/>
          <w:p>
            <w:pPr>
              <w:pStyle w:val="Compact"/>
            </w:pPr>
            <w:r>
              <w:t xml:space="preserve">KDIGO (2013)</w:t>
            </w:r>
          </w:p>
        </w:tc>
      </w:tr>
      <w:tr>
        <w:tc>
          <w:tcPr/>
          <w:p>
            <w:pPr>
              <w:pStyle w:val="Compact"/>
            </w:pPr>
            <w:r>
              <w:t xml:space="preserve">27</w:t>
            </w:r>
          </w:p>
        </w:tc>
        <w:tc>
          <w:tcPr/>
          <w:p>
            <w:pPr>
              <w:pStyle w:val="Compact"/>
            </w:pPr>
            <w:r>
              <w:t xml:space="preserve">Potasyum</w:t>
            </w:r>
          </w:p>
        </w:tc>
        <w:tc>
          <w:tcPr/>
          <w:p>
            <w:pPr>
              <w:pStyle w:val="Compact"/>
            </w:pPr>
            <w:r>
              <w:t xml:space="preserve">3.5–5.5 mmol/L</w:t>
            </w:r>
          </w:p>
        </w:tc>
        <w:tc>
          <w:tcPr/>
          <w:p>
            <w:pPr>
              <w:pStyle w:val="Compact"/>
            </w:pPr>
            <w:r>
              <w:t xml:space="preserve">3.64</w:t>
            </w:r>
          </w:p>
        </w:tc>
        <w:tc>
          <w:tcPr/>
          <w:p>
            <w:pPr>
              <w:pStyle w:val="Compact"/>
            </w:pPr>
            <w:r>
              <w:t xml:space="preserve">3.44</w:t>
            </w:r>
          </w:p>
        </w:tc>
        <w:tc>
          <w:tcPr/>
          <w:p>
            <w:pPr>
              <w:pStyle w:val="Compact"/>
            </w:pPr>
            <w:r>
              <w:rPr>
                <w:b/>
                <w:bCs/>
              </w:rPr>
              <w:t xml:space="preserve">5.05</w:t>
            </w:r>
          </w:p>
        </w:tc>
        <w:tc>
          <w:tcPr/>
          <w:p>
            <w:pPr>
              <w:pStyle w:val="Compact"/>
            </w:pPr>
            <w:r>
              <w:t xml:space="preserve">+38.7%</w:t>
            </w:r>
          </w:p>
        </w:tc>
        <w:tc>
          <w:tcPr/>
          <w:p>
            <w:pPr>
              <w:pStyle w:val="Compact"/>
            </w:pPr>
            <w:r>
              <w:t xml:space="preserve">KDIGO (2013)</w:t>
            </w:r>
          </w:p>
        </w:tc>
      </w:tr>
      <w:tr>
        <w:tc>
          <w:tcPr/>
          <w:p>
            <w:pPr>
              <w:pStyle w:val="Compact"/>
            </w:pPr>
            <w:r>
              <w:t xml:space="preserve">28</w:t>
            </w:r>
          </w:p>
        </w:tc>
        <w:tc>
          <w:tcPr/>
          <w:p>
            <w:pPr>
              <w:pStyle w:val="Compact"/>
            </w:pPr>
            <w:r>
              <w:t xml:space="preserve">ALT</w:t>
            </w:r>
          </w:p>
        </w:tc>
        <w:tc>
          <w:tcPr/>
          <w:p>
            <w:pPr>
              <w:pStyle w:val="Compact"/>
            </w:pPr>
            <w:r>
              <w:t xml:space="preserve">5–50 U/L</w:t>
            </w:r>
          </w:p>
        </w:tc>
        <w:tc>
          <w:tcPr/>
          <w:p>
            <w:pPr>
              <w:pStyle w:val="Compact"/>
            </w:pPr>
            <w:r>
              <w:t xml:space="preserve">19</w:t>
            </w:r>
          </w:p>
        </w:tc>
        <w:tc>
          <w:tcPr/>
          <w:p>
            <w:pPr>
              <w:pStyle w:val="Compact"/>
            </w:pPr>
            <w:r>
              <w:t xml:space="preserve">62</w:t>
            </w:r>
          </w:p>
        </w:tc>
        <w:tc>
          <w:tcPr/>
          <w:p>
            <w:pPr>
              <w:pStyle w:val="Compact"/>
            </w:pPr>
            <w:r>
              <w:rPr>
                <w:b/>
                <w:bCs/>
              </w:rPr>
              <w:t xml:space="preserve">14</w:t>
            </w:r>
          </w:p>
        </w:tc>
        <w:tc>
          <w:tcPr/>
          <w:p>
            <w:pPr>
              <w:pStyle w:val="Compact"/>
            </w:pPr>
            <w:r>
              <w:t xml:space="preserve">-26.3%</w:t>
            </w:r>
          </w:p>
        </w:tc>
        <w:tc>
          <w:tcPr/>
          <w:p>
            <w:pPr>
              <w:pStyle w:val="Compact"/>
            </w:pPr>
            <w:r>
              <w:t xml:space="preserve">—</w:t>
            </w:r>
          </w:p>
        </w:tc>
      </w:tr>
      <w:tr>
        <w:tc>
          <w:tcPr/>
          <w:p>
            <w:pPr>
              <w:pStyle w:val="Compact"/>
            </w:pPr>
            <w:r>
              <w:t xml:space="preserve">29</w:t>
            </w:r>
          </w:p>
        </w:tc>
        <w:tc>
          <w:tcPr/>
          <w:p>
            <w:pPr>
              <w:pStyle w:val="Compact"/>
            </w:pPr>
            <w:r>
              <w:t xml:space="preserve">AST</w:t>
            </w:r>
          </w:p>
        </w:tc>
        <w:tc>
          <w:tcPr/>
          <w:p>
            <w:pPr>
              <w:pStyle w:val="Compact"/>
            </w:pPr>
            <w:r>
              <w:t xml:space="preserve">5–46 U/L</w:t>
            </w:r>
          </w:p>
        </w:tc>
        <w:tc>
          <w:tcPr/>
          <w:p>
            <w:pPr>
              <w:pStyle w:val="Compact"/>
            </w:pPr>
            <w:r>
              <w:t xml:space="preserve">19</w:t>
            </w:r>
          </w:p>
        </w:tc>
        <w:tc>
          <w:tcPr/>
          <w:p>
            <w:pPr>
              <w:pStyle w:val="Compact"/>
            </w:pPr>
            <w:r>
              <w:t xml:space="preserve">84</w:t>
            </w:r>
          </w:p>
        </w:tc>
        <w:tc>
          <w:tcPr/>
          <w:p>
            <w:pPr>
              <w:pStyle w:val="Compact"/>
            </w:pPr>
            <w:r>
              <w:rPr>
                <w:b/>
                <w:bCs/>
              </w:rPr>
              <w:t xml:space="preserve">14</w:t>
            </w:r>
          </w:p>
        </w:tc>
        <w:tc>
          <w:tcPr/>
          <w:p>
            <w:pPr>
              <w:pStyle w:val="Compact"/>
            </w:pPr>
            <w:r>
              <w:t xml:space="preserve">-26.3%</w:t>
            </w:r>
          </w:p>
        </w:tc>
        <w:tc>
          <w:tcPr/>
          <w:p>
            <w:pPr>
              <w:pStyle w:val="Compact"/>
            </w:pPr>
            <w:r>
              <w:t xml:space="preserve">—</w:t>
            </w:r>
          </w:p>
        </w:tc>
      </w:tr>
      <w:tr>
        <w:tc>
          <w:tcPr/>
          <w:p>
            <w:pPr>
              <w:pStyle w:val="Compact"/>
            </w:pPr>
            <w:r>
              <w:t xml:space="preserve">30</w:t>
            </w:r>
          </w:p>
        </w:tc>
        <w:tc>
          <w:tcPr/>
          <w:p>
            <w:pPr>
              <w:pStyle w:val="Compact"/>
            </w:pPr>
            <w:r>
              <w:t xml:space="preserve">LDL Kolesterol</w:t>
            </w:r>
          </w:p>
        </w:tc>
        <w:tc>
          <w:tcPr/>
          <w:p>
            <w:pPr>
              <w:pStyle w:val="Compact"/>
            </w:pPr>
            <w:r>
              <w:t xml:space="preserve">&lt;55 mg/dL (ESC hedef)</w:t>
            </w:r>
          </w:p>
        </w:tc>
        <w:tc>
          <w:tcPr/>
          <w:p>
            <w:pPr>
              <w:pStyle w:val="Compact"/>
            </w:pPr>
            <w:r>
              <w:t xml:space="preserve">119.6</w:t>
            </w:r>
          </w:p>
        </w:tc>
        <w:tc>
          <w:tcPr/>
          <w:p>
            <w:pPr>
              <w:pStyle w:val="Compact"/>
            </w:pPr>
            <w:r>
              <w:t xml:space="preserve">141.0</w:t>
            </w:r>
          </w:p>
        </w:tc>
        <w:tc>
          <w:tcPr/>
          <w:p>
            <w:pPr>
              <w:pStyle w:val="Compact"/>
            </w:pPr>
            <w:r>
              <w:rPr>
                <w:b/>
                <w:bCs/>
              </w:rPr>
              <w:t xml:space="preserve">141.0</w:t>
            </w:r>
          </w:p>
        </w:tc>
        <w:tc>
          <w:tcPr/>
          <w:p>
            <w:pPr>
              <w:pStyle w:val="Compact"/>
            </w:pPr>
            <w:r>
              <w:t xml:space="preserve">+17.9%</w:t>
            </w:r>
          </w:p>
        </w:tc>
        <w:tc>
          <w:tcPr/>
          <w:p>
            <w:pPr>
              <w:pStyle w:val="Compact"/>
            </w:pPr>
            <w:r>
              <w:t xml:space="preserve">Mach et al. (2020)</w:t>
            </w:r>
          </w:p>
        </w:tc>
      </w:tr>
      <w:tr>
        <w:tc>
          <w:tcPr/>
          <w:p>
            <w:pPr>
              <w:pStyle w:val="Compact"/>
            </w:pPr>
            <w:r>
              <w:t xml:space="preserve">31</w:t>
            </w:r>
          </w:p>
        </w:tc>
        <w:tc>
          <w:tcPr/>
          <w:p>
            <w:pPr>
              <w:pStyle w:val="Compact"/>
            </w:pPr>
            <w:r>
              <w:t xml:space="preserve">Total Kolesterol</w:t>
            </w:r>
          </w:p>
        </w:tc>
        <w:tc>
          <w:tcPr/>
          <w:p>
            <w:pPr>
              <w:pStyle w:val="Compact"/>
            </w:pPr>
            <w:r>
              <w:t xml:space="preserve">0–200 mg/dL</w:t>
            </w:r>
          </w:p>
        </w:tc>
        <w:tc>
          <w:tcPr/>
          <w:p>
            <w:pPr>
              <w:pStyle w:val="Compact"/>
            </w:pPr>
            <w:r>
              <w:t xml:space="preserve">179</w:t>
            </w:r>
          </w:p>
        </w:tc>
        <w:tc>
          <w:tcPr/>
          <w:p>
            <w:pPr>
              <w:pStyle w:val="Compact"/>
            </w:pPr>
            <w:r>
              <w:t xml:space="preserve">210</w:t>
            </w:r>
          </w:p>
        </w:tc>
        <w:tc>
          <w:tcPr/>
          <w:p>
            <w:pPr>
              <w:pStyle w:val="Compact"/>
            </w:pPr>
            <w:r>
              <w:rPr>
                <w:b/>
                <w:bCs/>
              </w:rPr>
              <w:t xml:space="preserve">210</w:t>
            </w:r>
          </w:p>
        </w:tc>
        <w:tc>
          <w:tcPr/>
          <w:p>
            <w:pPr>
              <w:pStyle w:val="Compact"/>
            </w:pPr>
            <w:r>
              <w:t xml:space="preserve">+17.3%</w:t>
            </w:r>
          </w:p>
        </w:tc>
        <w:tc>
          <w:tcPr/>
          <w:p>
            <w:pPr>
              <w:pStyle w:val="Compact"/>
            </w:pPr>
            <w:r>
              <w:t xml:space="preserve">Mach et al. (2020)</w:t>
            </w:r>
          </w:p>
        </w:tc>
      </w:tr>
      <w:tr>
        <w:tc>
          <w:tcPr/>
          <w:p>
            <w:pPr>
              <w:pStyle w:val="Compact"/>
            </w:pPr>
            <w:r>
              <w:t xml:space="preserve">32</w:t>
            </w:r>
          </w:p>
        </w:tc>
        <w:tc>
          <w:tcPr/>
          <w:p>
            <w:pPr>
              <w:pStyle w:val="Compact"/>
            </w:pPr>
            <w:r>
              <w:t xml:space="preserve">TSH</w:t>
            </w:r>
          </w:p>
        </w:tc>
        <w:tc>
          <w:tcPr/>
          <w:p>
            <w:pPr>
              <w:pStyle w:val="Compact"/>
            </w:pPr>
            <w:r>
              <w:t xml:space="preserve">0.27–4.2 mIU/L</w:t>
            </w:r>
          </w:p>
        </w:tc>
        <w:tc>
          <w:tcPr/>
          <w:p>
            <w:pPr>
              <w:pStyle w:val="Compact"/>
            </w:pPr>
            <w:r>
              <w:t xml:space="preserve">0.86</w:t>
            </w:r>
          </w:p>
        </w:tc>
        <w:tc>
          <w:tcPr/>
          <w:p>
            <w:pPr>
              <w:pStyle w:val="Compact"/>
            </w:pPr>
            <w:r>
              <w:t xml:space="preserve">0.86</w:t>
            </w:r>
          </w:p>
        </w:tc>
        <w:tc>
          <w:tcPr/>
          <w:p>
            <w:pPr>
              <w:pStyle w:val="Compact"/>
            </w:pPr>
            <w:r>
              <w:rPr>
                <w:b/>
                <w:bCs/>
              </w:rPr>
              <w:t xml:space="preserve">0.28</w:t>
            </w:r>
          </w:p>
        </w:tc>
        <w:tc>
          <w:tcPr/>
          <w:p>
            <w:pPr>
              <w:pStyle w:val="Compact"/>
            </w:pPr>
            <w:r>
              <w:t xml:space="preserve">-67.4%</w:t>
            </w:r>
          </w:p>
        </w:tc>
        <w:tc>
          <w:tcPr/>
          <w:p>
            <w:pPr>
              <w:pStyle w:val="Compact"/>
            </w:pPr>
            <w:r>
              <w:t xml:space="preserve">—</w:t>
            </w:r>
          </w:p>
        </w:tc>
      </w:tr>
    </w:tbl>
    <w:bookmarkStart w:id="21" w:name="X20a4cc91ec404be100a50f73d33936ca79069b0"/>
    <w:p>
      <w:pPr>
        <w:pStyle w:val="Heading3"/>
      </w:pPr>
      <w:r>
        <w:rPr>
          <w:rStyle w:val="SectionNumber"/>
        </w:rPr>
        <w:t xml:space="preserve">1.5.1</w:t>
      </w:r>
      <w:r>
        <w:tab/>
      </w:r>
      <w:r>
        <w:t xml:space="preserve">4.1. Trend Analizi ve Kritik Yorumlar</w:t>
      </w:r>
    </w:p>
    <w:p>
      <w:pPr>
        <w:pStyle w:val="Compact"/>
        <w:numPr>
          <w:ilvl w:val="0"/>
          <w:numId w:val="1006"/>
        </w:numPr>
      </w:pPr>
      <w:r>
        <w:rPr>
          <w:b/>
          <w:bCs/>
        </w:rPr>
        <w:t xml:space="preserve">Hemoglobin &amp; Ferritin:</w:t>
      </w:r>
      <w:r>
        <w:t xml:space="preserve"> </w:t>
      </w:r>
      <w:r>
        <w:t xml:space="preserve">Kalıcı mikrositer anemi (MCV 76.7 fL), demir depolarının tamamen boşaldığını ve RDW genişlemesinin (18.2%) kronik demir eksikliği paternini doğruladığını gösterir (Camaschella, 2015).</w:t>
      </w:r>
    </w:p>
    <w:p>
      <w:pPr>
        <w:pStyle w:val="Compact"/>
        <w:numPr>
          <w:ilvl w:val="0"/>
          <w:numId w:val="1006"/>
        </w:numPr>
      </w:pPr>
      <w:r>
        <w:rPr>
          <w:b/>
          <w:bCs/>
        </w:rPr>
        <w:t xml:space="preserve">Trombositoz:</w:t>
      </w:r>
      <w:r>
        <w:t xml:space="preserve"> </w:t>
      </w:r>
      <w:r>
        <w:t xml:space="preserve">PLT 368 ×10⁹/L değeri, postoperatif inflamatuvar rebound ve demir eksikliği anemisinin reaktif trombositozu olarak yorumlanabilir (Snook et al., 2021).</w:t>
      </w:r>
    </w:p>
    <w:p>
      <w:pPr>
        <w:pStyle w:val="Compact"/>
        <w:numPr>
          <w:ilvl w:val="0"/>
          <w:numId w:val="1006"/>
        </w:numPr>
      </w:pPr>
      <w:r>
        <w:rPr>
          <w:b/>
          <w:bCs/>
        </w:rPr>
        <w:t xml:space="preserve">CRP:</w:t>
      </w:r>
      <w:r>
        <w:t xml:space="preserve"> </w:t>
      </w:r>
      <w:r>
        <w:t xml:space="preserve">154 → 5.7 mg/L gerileme, Klamoks kürüne tam yanıt veren subakut yara enfeksiyonunun kontrol altına alındığını gösterir (Horan et al., 2008).</w:t>
      </w:r>
    </w:p>
    <w:p>
      <w:pPr>
        <w:pStyle w:val="Compact"/>
        <w:numPr>
          <w:ilvl w:val="0"/>
          <w:numId w:val="1006"/>
        </w:numPr>
      </w:pPr>
      <w:r>
        <w:rPr>
          <w:b/>
          <w:bCs/>
        </w:rPr>
        <w:t xml:space="preserve">Potasyum 5.05 mmol/L:</w:t>
      </w:r>
      <w:r>
        <w:t xml:space="preserve"> </w:t>
      </w:r>
      <w:r>
        <w:t xml:space="preserve">Coversyl (ACEi) ve böbrek fonksiyonları birlikte izlenmeli; sınır üst banda yaklaşılmıştır (KDIGO, 2013).</w:t>
      </w:r>
    </w:p>
    <w:p>
      <w:pPr>
        <w:pStyle w:val="Compact"/>
        <w:numPr>
          <w:ilvl w:val="0"/>
          <w:numId w:val="1006"/>
        </w:numPr>
      </w:pPr>
      <w:r>
        <w:rPr>
          <w:b/>
          <w:bCs/>
        </w:rPr>
        <w:t xml:space="preserve">LDL 141 mg/dL:</w:t>
      </w:r>
      <w:r>
        <w:t xml:space="preserve"> </w:t>
      </w:r>
      <w:r>
        <w:t xml:space="preserve">ESC 2024 çok yüksek risk kategorisi için hedef &lt;55 mg/dL'dir; statin endikasyonu doğmuştur (Mach et al., 2020).</w:t>
      </w:r>
    </w:p>
    <w:p>
      <w:r>
        <w:pict>
          <v:rect style="width:0;height:1.5pt" o:hralign="center" o:hrstd="t" o:hr="t"/>
        </w:pict>
      </w:r>
    </w:p>
    <w:bookmarkEnd w:id="21"/>
    <w:bookmarkEnd w:id="22"/>
    <w:bookmarkStart w:id="25" w:name="X7cc688e6dced6843ef9338756764910772575b9"/>
    <w:p>
      <w:pPr>
        <w:pStyle w:val="Heading2"/>
      </w:pPr>
      <w:r>
        <w:rPr>
          <w:rStyle w:val="SectionNumber"/>
        </w:rPr>
        <w:t xml:space="preserve">1.6</w:t>
      </w:r>
      <w:r>
        <w:tab/>
      </w:r>
      <w:r>
        <w:t xml:space="preserve">5. Güncel Farmakoterapi ve 5 Maddelik Branş Eylem Planı</w:t>
      </w:r>
    </w:p>
    <w:bookmarkStart w:id="23" w:name="X9a1e1fd63ccdd332bf6a538ddd1e10de035ea4b"/>
    <w:p>
      <w:pPr>
        <w:pStyle w:val="Heading3"/>
      </w:pPr>
      <w:r>
        <w:rPr>
          <w:rStyle w:val="SectionNumber"/>
        </w:rPr>
        <w:t xml:space="preserve">1.6.1</w:t>
      </w:r>
      <w:r>
        <w:tab/>
      </w:r>
      <w:r>
        <w:t xml:space="preserve">5.1. Aktif İlaç Rejimi (16.09.2026)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İlaç</w:t>
            </w:r>
          </w:p>
        </w:tc>
        <w:tc>
          <w:tcPr/>
          <w:p>
            <w:pPr>
              <w:pStyle w:val="Compact"/>
            </w:pPr>
            <w:r>
              <w:t xml:space="preserve">Doz</w:t>
            </w:r>
          </w:p>
        </w:tc>
        <w:tc>
          <w:tcPr/>
          <w:p>
            <w:pPr>
              <w:pStyle w:val="Compact"/>
            </w:pPr>
            <w:r>
              <w:t xml:space="preserve">Rejim</w:t>
            </w:r>
          </w:p>
        </w:tc>
        <w:tc>
          <w:tcPr/>
          <w:p>
            <w:pPr>
              <w:pStyle w:val="Compact"/>
            </w:pPr>
            <w:r>
              <w:t xml:space="preserve">Endikasyon</w:t>
            </w:r>
          </w:p>
        </w:tc>
        <w:tc>
          <w:tcPr/>
          <w:p>
            <w:pPr>
              <w:pStyle w:val="Compact"/>
            </w:pPr>
            <w:r>
              <w:t xml:space="preserve">Klinik Not</w:t>
            </w:r>
          </w:p>
        </w:tc>
      </w:tr>
      <w:tr>
        <w:tc>
          <w:tcPr/>
          <w:p>
            <w:pPr>
              <w:pStyle w:val="Compact"/>
            </w:pPr>
            <w:r>
              <w:rPr>
                <w:b/>
                <w:bCs/>
              </w:rPr>
              <w:t xml:space="preserve">Warfmadin</w:t>
            </w:r>
          </w:p>
        </w:tc>
        <w:tc>
          <w:tcPr/>
          <w:p>
            <w:pPr>
              <w:pStyle w:val="Compact"/>
            </w:pPr>
            <w:r>
              <w:t xml:space="preserve">5 mg</w:t>
            </w:r>
          </w:p>
        </w:tc>
        <w:tc>
          <w:tcPr/>
          <w:p>
            <w:pPr>
              <w:pStyle w:val="Compact"/>
            </w:pPr>
            <w:r>
              <w:t xml:space="preserve">20 mg/hafta (4 tbl)</w:t>
            </w:r>
          </w:p>
        </w:tc>
        <w:tc>
          <w:tcPr/>
          <w:p>
            <w:pPr>
              <w:pStyle w:val="Compact"/>
            </w:pPr>
            <w:r>
              <w:t xml:space="preserve">Mekanik protez kapak</w:t>
            </w:r>
          </w:p>
        </w:tc>
        <w:tc>
          <w:tcPr/>
          <w:p>
            <w:pPr>
              <w:pStyle w:val="Compact"/>
            </w:pPr>
            <w:r>
              <w:t xml:space="preserve">⚠️ 22.5–25 mg/hafta'ya titre edilmeli</w:t>
            </w:r>
          </w:p>
        </w:tc>
      </w:tr>
      <w:tr>
        <w:tc>
          <w:tcPr/>
          <w:p>
            <w:pPr>
              <w:pStyle w:val="Compact"/>
            </w:pPr>
            <w:r>
              <w:rPr>
                <w:b/>
                <w:bCs/>
              </w:rPr>
              <w:t xml:space="preserve">Dilatrend</w:t>
            </w:r>
            <w:r>
              <w:t xml:space="preserve"> </w:t>
            </w:r>
            <w:r>
              <w:t xml:space="preserve">(Karvedilol)</w:t>
            </w:r>
          </w:p>
        </w:tc>
        <w:tc>
          <w:tcPr/>
          <w:p>
            <w:pPr>
              <w:pStyle w:val="Compact"/>
            </w:pPr>
            <w:r>
              <w:t xml:space="preserve">6.25 mg</w:t>
            </w:r>
          </w:p>
        </w:tc>
        <w:tc>
          <w:tcPr/>
          <w:p>
            <w:pPr>
              <w:pStyle w:val="Compact"/>
            </w:pPr>
            <w:r>
              <w:t xml:space="preserve">2×1</w:t>
            </w:r>
          </w:p>
        </w:tc>
        <w:tc>
          <w:tcPr/>
          <w:p>
            <w:pPr>
              <w:pStyle w:val="Compact"/>
            </w:pPr>
            <w:r>
              <w:t xml:space="preserve">Aortik dP/dt kontrolü</w:t>
            </w:r>
          </w:p>
        </w:tc>
        <w:tc>
          <w:tcPr/>
          <w:p>
            <w:pPr>
              <w:pStyle w:val="Compact"/>
            </w:pPr>
            <w:r>
              <w:t xml:space="preserve">Sabit doz</w:t>
            </w:r>
          </w:p>
        </w:tc>
      </w:tr>
      <w:tr>
        <w:tc>
          <w:tcPr/>
          <w:p>
            <w:pPr>
              <w:pStyle w:val="Compact"/>
            </w:pPr>
            <w:r>
              <w:rPr>
                <w:b/>
                <w:bCs/>
              </w:rPr>
              <w:t xml:space="preserve">Coversyl</w:t>
            </w:r>
            <w:r>
              <w:t xml:space="preserve"> </w:t>
            </w:r>
            <w:r>
              <w:t xml:space="preserve">(Perindopril)</w:t>
            </w:r>
          </w:p>
        </w:tc>
        <w:tc>
          <w:tcPr/>
          <w:p>
            <w:pPr>
              <w:pStyle w:val="Compact"/>
            </w:pPr>
            <w:r>
              <w:t xml:space="preserve">5 mg</w:t>
            </w:r>
          </w:p>
        </w:tc>
        <w:tc>
          <w:tcPr/>
          <w:p>
            <w:pPr>
              <w:pStyle w:val="Compact"/>
            </w:pPr>
            <w:r>
              <w:t xml:space="preserve">1×1</w:t>
            </w:r>
          </w:p>
        </w:tc>
        <w:tc>
          <w:tcPr/>
          <w:p>
            <w:pPr>
              <w:pStyle w:val="Compact"/>
            </w:pPr>
            <w:r>
              <w:t xml:space="preserve">Hemodinamik kontrol</w:t>
            </w:r>
          </w:p>
        </w:tc>
        <w:tc>
          <w:tcPr/>
          <w:p>
            <w:pPr>
              <w:pStyle w:val="Compact"/>
            </w:pPr>
            <w:r>
              <w:t xml:space="preserve">04.08.2026'da eklendi</w:t>
            </w:r>
          </w:p>
        </w:tc>
      </w:tr>
      <w:tr>
        <w:tc>
          <w:tcPr/>
          <w:p>
            <w:pPr>
              <w:pStyle w:val="Compact"/>
            </w:pPr>
            <w:r>
              <w:rPr>
                <w:b/>
                <w:bCs/>
              </w:rPr>
              <w:t xml:space="preserve">EcopirinPro</w:t>
            </w:r>
          </w:p>
        </w:tc>
        <w:tc>
          <w:tcPr/>
          <w:p>
            <w:pPr>
              <w:pStyle w:val="Compact"/>
            </w:pPr>
            <w:r>
              <w:t xml:space="preserve">81 mg</w:t>
            </w:r>
          </w:p>
        </w:tc>
        <w:tc>
          <w:tcPr/>
          <w:p>
            <w:pPr>
              <w:pStyle w:val="Compact"/>
            </w:pPr>
            <w:r>
              <w:t xml:space="preserve">1×1</w:t>
            </w:r>
          </w:p>
        </w:tc>
        <w:tc>
          <w:tcPr/>
          <w:p>
            <w:pPr>
              <w:pStyle w:val="Compact"/>
            </w:pPr>
            <w:r>
              <w:t xml:space="preserve">Antiplatelet, greft koruması</w:t>
            </w:r>
          </w:p>
        </w:tc>
        <w:tc>
          <w:tcPr/>
          <w:p>
            <w:pPr>
              <w:pStyle w:val="Compact"/>
            </w:pPr>
            <w:r>
              <w:t xml:space="preserve">Kanama riski izlenmeli</w:t>
            </w:r>
          </w:p>
        </w:tc>
      </w:tr>
      <w:tr>
        <w:tc>
          <w:tcPr/>
          <w:p>
            <w:pPr>
              <w:pStyle w:val="Compact"/>
            </w:pPr>
            <w:r>
              <w:rPr>
                <w:b/>
                <w:bCs/>
              </w:rPr>
              <w:t xml:space="preserve">Panto</w:t>
            </w:r>
            <w:r>
              <w:t xml:space="preserve"> </w:t>
            </w:r>
            <w:r>
              <w:t xml:space="preserve">(Pantoprazol)</w:t>
            </w:r>
          </w:p>
        </w:tc>
        <w:tc>
          <w:tcPr/>
          <w:p>
            <w:pPr>
              <w:pStyle w:val="Compact"/>
            </w:pPr>
            <w:r>
              <w:t xml:space="preserve">40 mg</w:t>
            </w:r>
          </w:p>
        </w:tc>
        <w:tc>
          <w:tcPr/>
          <w:p>
            <w:pPr>
              <w:pStyle w:val="Compact"/>
            </w:pPr>
            <w:r>
              <w:t xml:space="preserve">1×1 sabah aç</w:t>
            </w:r>
          </w:p>
        </w:tc>
        <w:tc>
          <w:tcPr/>
          <w:p>
            <w:pPr>
              <w:pStyle w:val="Compact"/>
            </w:pPr>
            <w:r>
              <w:t xml:space="preserve">GİS koruması</w:t>
            </w:r>
          </w:p>
        </w:tc>
        <w:tc>
          <w:tcPr/>
          <w:p>
            <w:pPr>
              <w:pStyle w:val="Compact"/>
            </w:pPr>
            <w:r>
              <w:t xml:space="preserve">Ferro Sanol'dan 1 saat sonra</w:t>
            </w:r>
          </w:p>
        </w:tc>
      </w:tr>
      <w:tr>
        <w:tc>
          <w:tcPr/>
          <w:p>
            <w:pPr>
              <w:pStyle w:val="Compact"/>
            </w:pPr>
            <w:r>
              <w:rPr>
                <w:b/>
                <w:bCs/>
              </w:rPr>
              <w:t xml:space="preserve">Ferro Sanol Duodenal</w:t>
            </w:r>
          </w:p>
        </w:tc>
        <w:tc>
          <w:tcPr/>
          <w:p>
            <w:pPr>
              <w:pStyle w:val="Compact"/>
            </w:pPr>
            <w:r>
              <w:t xml:space="preserve">100 mg Fe²⁺</w:t>
            </w:r>
          </w:p>
        </w:tc>
        <w:tc>
          <w:tcPr/>
          <w:p>
            <w:pPr>
              <w:pStyle w:val="Compact"/>
            </w:pPr>
            <w:r>
              <w:t xml:space="preserve">1×1 sabah aç</w:t>
            </w:r>
          </w:p>
        </w:tc>
        <w:tc>
          <w:tcPr/>
          <w:p>
            <w:pPr>
              <w:pStyle w:val="Compact"/>
            </w:pPr>
            <w:r>
              <w:t xml:space="preserve">Anemi replasmanı</w:t>
            </w:r>
          </w:p>
        </w:tc>
        <w:tc>
          <w:tcPr/>
          <w:p>
            <w:pPr>
              <w:pStyle w:val="Compact"/>
            </w:pPr>
            <w:r>
              <w:t xml:space="preserve">11.09.2026 başlangıç</w:t>
            </w:r>
          </w:p>
        </w:tc>
      </w:tr>
      <w:tr>
        <w:tc>
          <w:tcPr/>
          <w:p>
            <w:pPr>
              <w:pStyle w:val="Compact"/>
            </w:pPr>
            <w:r>
              <w:rPr>
                <w:b/>
                <w:bCs/>
              </w:rPr>
              <w:t xml:space="preserve">Kapril</w:t>
            </w:r>
          </w:p>
        </w:tc>
        <w:tc>
          <w:tcPr/>
          <w:p>
            <w:pPr>
              <w:pStyle w:val="Compact"/>
            </w:pPr>
            <w:r>
              <w:t xml:space="preserve">25 mg</w:t>
            </w:r>
          </w:p>
        </w:tc>
        <w:tc>
          <w:tcPr/>
          <w:p>
            <w:pPr>
              <w:pStyle w:val="Compact"/>
            </w:pPr>
            <w:r>
              <w:t xml:space="preserve">PRN SL</w:t>
            </w:r>
          </w:p>
        </w:tc>
        <w:tc>
          <w:tcPr/>
          <w:p>
            <w:pPr>
              <w:pStyle w:val="Compact"/>
            </w:pPr>
            <w:r>
              <w:t xml:space="preserve">Acil antihipertansif</w:t>
            </w:r>
          </w:p>
        </w:tc>
        <w:tc>
          <w:tcPr/>
          <w:p>
            <w:pPr>
              <w:pStyle w:val="Compact"/>
            </w:pPr>
            <w:r>
              <w:t xml:space="preserve">Kriz yönetimi</w:t>
            </w:r>
          </w:p>
        </w:tc>
      </w:tr>
    </w:tbl>
    <w:bookmarkEnd w:id="23"/>
    <w:bookmarkStart w:id="24" w:name="Xcd3364d0e16e18725d8d1ec7af0ea715ddc9a02"/>
    <w:p>
      <w:pPr>
        <w:pStyle w:val="Heading3"/>
      </w:pPr>
      <w:r>
        <w:rPr>
          <w:rStyle w:val="SectionNumber"/>
        </w:rPr>
        <w:t xml:space="preserve">1.6.2</w:t>
      </w:r>
      <w:r>
        <w:tab/>
      </w:r>
      <w:r>
        <w:t xml:space="preserve">5.2. Branş Bazlı 5 Maddelik Eylem Planı</w:t>
      </w:r>
    </w:p>
    <w:p>
      <w:pPr>
        <w:pStyle w:val="FirstParagraph"/>
      </w:pPr>
      <w:r>
        <w:rPr>
          <w:b/>
          <w:bCs/>
        </w:rPr>
        <w:t xml:space="preserve">1. Kardiyovasküler Cerrahi (KVC) — 24 Saat İçinde:</w:t>
      </w:r>
    </w:p>
    <w:p>
      <w:pPr>
        <w:pStyle w:val="Compact"/>
        <w:numPr>
          <w:ilvl w:val="0"/>
          <w:numId w:val="1007"/>
        </w:numPr>
      </w:pPr>
      <w:r>
        <w:t xml:space="preserve">Warfmadin haftalık doz artışı: 20 → 22.5–25 mg/hafta (INR hedef 2.0–3.0)</w:t>
      </w:r>
    </w:p>
    <w:p>
      <w:pPr>
        <w:pStyle w:val="Compact"/>
        <w:numPr>
          <w:ilvl w:val="0"/>
          <w:numId w:val="1007"/>
        </w:numPr>
      </w:pPr>
      <w:r>
        <w:t xml:space="preserve">Kontrol INR 23–26 Eylül 2026'da alınacak</w:t>
      </w:r>
    </w:p>
    <w:p>
      <w:pPr>
        <w:pStyle w:val="Compact"/>
        <w:numPr>
          <w:ilvl w:val="0"/>
          <w:numId w:val="1007"/>
        </w:numPr>
      </w:pPr>
      <w:r>
        <w:rPr>
          <w:b/>
          <w:bCs/>
        </w:rPr>
        <w:t xml:space="preserve">6. Ay Kontrol Torakoabdominal BT Anjiyografi</w:t>
      </w:r>
      <w:r>
        <w:t xml:space="preserve"> </w:t>
      </w:r>
      <w:r>
        <w:t xml:space="preserve">için randevu planlanacak (Czerny et al., 2024; Fleischmann et al., 2022)</w:t>
      </w:r>
    </w:p>
    <w:p>
      <w:pPr>
        <w:pStyle w:val="Compact"/>
        <w:numPr>
          <w:ilvl w:val="0"/>
          <w:numId w:val="1007"/>
        </w:numPr>
      </w:pPr>
      <w:r>
        <w:t xml:space="preserve">Rezidüel flep çap ölçümleri (inen aorta 39mm, abdominal 38mm) karşılaştırılacak</w:t>
      </w:r>
    </w:p>
    <w:p>
      <w:pPr>
        <w:pStyle w:val="Compact"/>
        <w:numPr>
          <w:ilvl w:val="0"/>
          <w:numId w:val="1007"/>
        </w:numPr>
      </w:pPr>
      <w:r>
        <w:t xml:space="preserve">PKE riski için ateş, yeni üfürüm, kapak sesi değişikliği takibi (Delgado et al., 2023)</w:t>
      </w:r>
    </w:p>
    <w:p>
      <w:pPr>
        <w:pStyle w:val="FirstParagraph"/>
      </w:pPr>
      <w:r>
        <w:rPr>
          <w:b/>
          <w:bCs/>
        </w:rPr>
        <w:t xml:space="preserve">2. Hematoloji — 4 Hafta İçinde:</w:t>
      </w:r>
    </w:p>
    <w:p>
      <w:pPr>
        <w:pStyle w:val="Compact"/>
        <w:numPr>
          <w:ilvl w:val="0"/>
          <w:numId w:val="1008"/>
        </w:numPr>
      </w:pPr>
      <w:r>
        <w:t xml:space="preserve">Ferro Sanol Duodenal 100 mg devam; 4 hafta sonra HGB yanıtı değerlendirilecek (hedef ≥1 g/dL artış) (Snook et al., 2021)</w:t>
      </w:r>
    </w:p>
    <w:p>
      <w:pPr>
        <w:pStyle w:val="Compact"/>
        <w:numPr>
          <w:ilvl w:val="0"/>
          <w:numId w:val="1008"/>
        </w:numPr>
      </w:pPr>
      <w:r>
        <w:t xml:space="preserve">Oral toleranssızlık/refrakterlikte</w:t>
      </w:r>
      <w:r>
        <w:t xml:space="preserve"> </w:t>
      </w:r>
      <w:r>
        <w:rPr>
          <w:b/>
          <w:bCs/>
        </w:rPr>
        <w:t xml:space="preserve">IV Ferrik Karboksimaltoz 1000 mg</w:t>
      </w:r>
      <w:r>
        <w:t xml:space="preserve"> </w:t>
      </w:r>
      <w:r>
        <w:t xml:space="preserve">tek seans (Camaschella, 2015)</w:t>
      </w:r>
    </w:p>
    <w:p>
      <w:pPr>
        <w:pStyle w:val="Compact"/>
        <w:numPr>
          <w:ilvl w:val="0"/>
          <w:numId w:val="1008"/>
        </w:numPr>
      </w:pPr>
      <w:r>
        <w:t xml:space="preserve">Ardışık 3× GGK + üst GİS endoskopi ve kolonoskopi planı (Goddard et al., 2021)</w:t>
      </w:r>
    </w:p>
    <w:p>
      <w:pPr>
        <w:pStyle w:val="Compact"/>
        <w:numPr>
          <w:ilvl w:val="0"/>
          <w:numId w:val="1008"/>
        </w:numPr>
      </w:pPr>
      <w:r>
        <w:t xml:space="preserve">Trombositozun etyolojik değerlendirmesi</w:t>
      </w:r>
    </w:p>
    <w:p>
      <w:pPr>
        <w:pStyle w:val="FirstParagraph"/>
      </w:pPr>
      <w:r>
        <w:rPr>
          <w:b/>
          <w:bCs/>
        </w:rPr>
        <w:t xml:space="preserve">3. Kardiyoloji — 2 Hafta İçinde:</w:t>
      </w:r>
    </w:p>
    <w:p>
      <w:pPr>
        <w:pStyle w:val="Compact"/>
        <w:numPr>
          <w:ilvl w:val="0"/>
          <w:numId w:val="1009"/>
        </w:numPr>
      </w:pPr>
      <w:r>
        <w:t xml:space="preserve">LDL 141 mg/dL için</w:t>
      </w:r>
      <w:r>
        <w:t xml:space="preserve"> </w:t>
      </w:r>
      <w:r>
        <w:rPr>
          <w:b/>
          <w:bCs/>
        </w:rPr>
        <w:t xml:space="preserve">statin başlangıcı</w:t>
      </w:r>
      <w:r>
        <w:t xml:space="preserve"> </w:t>
      </w:r>
      <w:r>
        <w:t xml:space="preserve">(Atorvastatin 20 mg/gün) — hedef LDL &lt;55 mg/dL (Mach et al., 2020)</w:t>
      </w:r>
    </w:p>
    <w:p>
      <w:pPr>
        <w:pStyle w:val="Compact"/>
        <w:numPr>
          <w:ilvl w:val="0"/>
          <w:numId w:val="1009"/>
        </w:numPr>
      </w:pPr>
      <w:r>
        <w:t xml:space="preserve">Potasyum 5.05 mmol/L için ACEi-böbrek etkileşimi gözden geçirilecek (KDIGO, 2013)</w:t>
      </w:r>
    </w:p>
    <w:p>
      <w:pPr>
        <w:pStyle w:val="Compact"/>
        <w:numPr>
          <w:ilvl w:val="0"/>
          <w:numId w:val="1009"/>
        </w:numPr>
      </w:pPr>
      <w:r>
        <w:t xml:space="preserve">Tansiyon 113/75 mmHg hedef bandı sürdürülecek (McEvoy et al., 2024)</w:t>
      </w:r>
    </w:p>
    <w:p>
      <w:pPr>
        <w:pStyle w:val="FirstParagraph"/>
      </w:pPr>
      <w:r>
        <w:rPr>
          <w:b/>
          <w:bCs/>
        </w:rPr>
        <w:t xml:space="preserve">4. Radyoloji / Görüntüleme — 6. Ayda:</w:t>
      </w:r>
    </w:p>
    <w:p>
      <w:pPr>
        <w:pStyle w:val="Compact"/>
        <w:numPr>
          <w:ilvl w:val="0"/>
          <w:numId w:val="1010"/>
        </w:numPr>
      </w:pPr>
      <w:r>
        <w:t xml:space="preserve">Kontrol Torakoabdominal BT Anjiyografi (kontrastlı)</w:t>
      </w:r>
    </w:p>
    <w:p>
      <w:pPr>
        <w:pStyle w:val="Compact"/>
        <w:numPr>
          <w:ilvl w:val="0"/>
          <w:numId w:val="1010"/>
        </w:numPr>
      </w:pPr>
      <w:r>
        <w:t xml:space="preserve">İnen ve abdominal aort çapları; iliak bifurkasyon flebi</w:t>
      </w:r>
    </w:p>
    <w:p>
      <w:pPr>
        <w:pStyle w:val="Compact"/>
        <w:numPr>
          <w:ilvl w:val="0"/>
          <w:numId w:val="1010"/>
        </w:numPr>
      </w:pPr>
      <w:r>
        <w:t xml:space="preserve">Yalancı lümen trombüsü progresyonu değerlendirilecek (Fleischmann et al., 2022)</w:t>
      </w:r>
    </w:p>
    <w:p>
      <w:pPr>
        <w:pStyle w:val="FirstParagraph"/>
      </w:pPr>
      <w:r>
        <w:rPr>
          <w:b/>
          <w:bCs/>
        </w:rPr>
        <w:t xml:space="preserve">5. Enfeksiyon / Klinik Mikrobiyoloji — Sürekli:</w:t>
      </w:r>
    </w:p>
    <w:p>
      <w:pPr>
        <w:pStyle w:val="Compact"/>
        <w:numPr>
          <w:ilvl w:val="0"/>
          <w:numId w:val="1011"/>
        </w:numPr>
      </w:pPr>
      <w:r>
        <w:t xml:space="preserve">Diş işlemleri öncesi</w:t>
      </w:r>
      <w:r>
        <w:t xml:space="preserve"> </w:t>
      </w:r>
      <w:r>
        <w:rPr>
          <w:b/>
          <w:bCs/>
        </w:rPr>
        <w:t xml:space="preserve">amoksisilin 2 g</w:t>
      </w:r>
      <w:r>
        <w:t xml:space="preserve"> </w:t>
      </w:r>
      <w:r>
        <w:t xml:space="preserve">profilaksi (yaşam boyu) (Delgado et al., 2023)</w:t>
      </w:r>
    </w:p>
    <w:p>
      <w:pPr>
        <w:pStyle w:val="Compact"/>
        <w:numPr>
          <w:ilvl w:val="0"/>
          <w:numId w:val="1011"/>
        </w:numPr>
      </w:pPr>
      <w:r>
        <w:t xml:space="preserve">Persistan ateşte 3 set kan kültürü + TEE ile PKE taraması</w:t>
      </w:r>
    </w:p>
    <w:p>
      <w:pPr>
        <w:pStyle w:val="Compact"/>
        <w:numPr>
          <w:ilvl w:val="0"/>
          <w:numId w:val="1011"/>
        </w:numPr>
      </w:pPr>
      <w:r>
        <w:t xml:space="preserve">Yara yeri (sternal insizyon hattı) günlük kontrol</w:t>
      </w:r>
    </w:p>
    <w:p>
      <w:r>
        <w:pict>
          <v:rect style="width:0;height:1.5pt" o:hralign="center" o:hrstd="t" o:hr="t"/>
        </w:pict>
      </w:r>
    </w:p>
    <w:bookmarkEnd w:id="24"/>
    <w:bookmarkEnd w:id="25"/>
    <w:bookmarkStart w:id="46" w:name="Xb50c720da11a2eaf10decf0df50b426950be628"/>
    <w:p>
      <w:pPr>
        <w:pStyle w:val="Heading2"/>
      </w:pPr>
      <w:r>
        <w:rPr>
          <w:rStyle w:val="SectionNumber"/>
        </w:rPr>
        <w:t xml:space="preserve">1.7</w:t>
      </w:r>
      <w:r>
        <w:tab/>
      </w:r>
      <w:r>
        <w:t xml:space="preserve">6. Kaynakça (APA 7th Edition)</w:t>
      </w:r>
    </w:p>
    <w:p>
      <w:pPr>
        <w:pStyle w:val="FirstParagraph"/>
      </w:pPr>
      <w:r>
        <w:t xml:space="preserve">Camaschella, C. (2015). Iron-deficiency anemia.</w:t>
      </w:r>
      <w:r>
        <w:t xml:space="preserve"> </w:t>
      </w:r>
      <w:r>
        <w:rPr>
          <w:i/>
          <w:iCs/>
        </w:rPr>
        <w:t xml:space="preserve">New England Journal of Medicine</w:t>
      </w:r>
      <w:r>
        <w:t xml:space="preserve">,</w:t>
      </w:r>
      <w:r>
        <w:t xml:space="preserve"> </w:t>
      </w:r>
      <w:r>
        <w:rPr>
          <w:i/>
          <w:iCs/>
        </w:rPr>
        <w:t xml:space="preserve">372</w:t>
      </w:r>
      <w:r>
        <w:t xml:space="preserve">(19), 1832–1843.</w:t>
      </w:r>
      <w:r>
        <w:t xml:space="preserve"> </w:t>
      </w:r>
      <w:hyperlink r:id="rId26">
        <w:r>
          <w:rPr>
            <w:rStyle w:val="Hyperlink"/>
          </w:rPr>
          <w:t xml:space="preserve">https://doi.org/10.1056/NEJMra1401038</w:t>
        </w:r>
      </w:hyperlink>
    </w:p>
    <w:p>
      <w:pPr>
        <w:pStyle w:val="BodyText"/>
      </w:pPr>
      <w:r>
        <w:t xml:space="preserve">Czerny, M., Grabenwöger, M., Berger, T., Aboyans, V., Della Corte, A., Jassar, A. S., Kallenbach, K., Misfeld, M., Trimarchi, S., &amp; EACTS/STS Scientific Document Group. (2024). EACTS/STS Guidelines for diagnosing and treating acute and chronic syndromes of the aortic organ.</w:t>
      </w:r>
      <w:r>
        <w:t xml:space="preserve"> </w:t>
      </w:r>
      <w:r>
        <w:rPr>
          <w:i/>
          <w:iCs/>
        </w:rPr>
        <w:t xml:space="preserve">European Journal of Cardio-Thoracic Surgery</w:t>
      </w:r>
      <w:r>
        <w:t xml:space="preserve">,</w:t>
      </w:r>
      <w:r>
        <w:t xml:space="preserve"> </w:t>
      </w:r>
      <w:r>
        <w:rPr>
          <w:i/>
          <w:iCs/>
        </w:rPr>
        <w:t xml:space="preserve">65</w:t>
      </w:r>
      <w:r>
        <w:t xml:space="preserve">(2), Article ezad426.</w:t>
      </w:r>
      <w:r>
        <w:t xml:space="preserve"> </w:t>
      </w:r>
      <w:hyperlink r:id="rId27">
        <w:r>
          <w:rPr>
            <w:rStyle w:val="Hyperlink"/>
          </w:rPr>
          <w:t xml:space="preserve">https://doi.org/10.1093/ejcts/ezad426</w:t>
        </w:r>
      </w:hyperlink>
    </w:p>
    <w:p>
      <w:pPr>
        <w:pStyle w:val="BodyText"/>
      </w:pPr>
      <w:r>
        <w:t xml:space="preserve">Delgado, V., Ajmone Marsan, N., de Waha, S., Bonaros, N., Brida, M., Burri, H., Caselli, S., Doenst, T., Durante-Mangoni, E., Erba, P. A., Frank, D., Gallardo, E., Galiè, N., Habib, G., Lancellotti, P., Lionetti, G., Mancone, M., Mistiaen, W., Nienaber, C. A., … ESC Scientific Document Group. (2023). 2023 ESC Guidelines for the management of endocarditis.</w:t>
      </w:r>
      <w:r>
        <w:t xml:space="preserve"> </w:t>
      </w:r>
      <w:r>
        <w:rPr>
          <w:i/>
          <w:iCs/>
        </w:rPr>
        <w:t xml:space="preserve">European Heart Journal</w:t>
      </w:r>
      <w:r>
        <w:t xml:space="preserve">,</w:t>
      </w:r>
      <w:r>
        <w:t xml:space="preserve"> </w:t>
      </w:r>
      <w:r>
        <w:rPr>
          <w:i/>
          <w:iCs/>
        </w:rPr>
        <w:t xml:space="preserve">44</w:t>
      </w:r>
      <w:r>
        <w:t xml:space="preserve">(39), 3948–4042.</w:t>
      </w:r>
      <w:r>
        <w:t xml:space="preserve"> </w:t>
      </w:r>
      <w:hyperlink r:id="rId28">
        <w:r>
          <w:rPr>
            <w:rStyle w:val="Hyperlink"/>
          </w:rPr>
          <w:t xml:space="preserve">https://doi.org/10.1093/eurheartj/ehad193</w:t>
        </w:r>
      </w:hyperlink>
    </w:p>
    <w:p>
      <w:pPr>
        <w:pStyle w:val="BodyText"/>
      </w:pPr>
      <w:r>
        <w:t xml:space="preserve">Fleischmann, D., Afifi, R. O., Casanegra, A. I., Elefteriades, J. A., Gleason, T. G., Hanneman, K., Hope, M. D., Hughes, G. C., Matsumura, J. S., Rylski, B., Trimarchi, S., &amp; American Heart Association Council on Cardiovascular Radiology and Intervention. (2022). Imaging and surveillance of chronic aortic dissection: A scientific statement from the American Heart Association.</w:t>
      </w:r>
      <w:r>
        <w:t xml:space="preserve"> </w:t>
      </w:r>
      <w:r>
        <w:rPr>
          <w:i/>
          <w:iCs/>
        </w:rPr>
        <w:t xml:space="preserve">Circulation: Cardiovascular Imaging</w:t>
      </w:r>
      <w:r>
        <w:t xml:space="preserve">,</w:t>
      </w:r>
      <w:r>
        <w:t xml:space="preserve"> </w:t>
      </w:r>
      <w:r>
        <w:rPr>
          <w:i/>
          <w:iCs/>
        </w:rPr>
        <w:t xml:space="preserve">15</w:t>
      </w:r>
      <w:r>
        <w:t xml:space="preserve">(3), Article e000075.</w:t>
      </w:r>
      <w:r>
        <w:t xml:space="preserve"> </w:t>
      </w:r>
      <w:hyperlink r:id="rId29">
        <w:r>
          <w:rPr>
            <w:rStyle w:val="Hyperlink"/>
          </w:rPr>
          <w:t xml:space="preserve">https://doi.org/10.1161/HCG.0000000000000075</w:t>
        </w:r>
      </w:hyperlink>
    </w:p>
    <w:p>
      <w:pPr>
        <w:pStyle w:val="BodyText"/>
      </w:pPr>
      <w:r>
        <w:t xml:space="preserve">Goddard, A. F., James, M. W., McIntyre, A. S., &amp; Scott, B. B. (2021). Guidelines for the management of iron deficiency anaemia.</w:t>
      </w:r>
      <w:r>
        <w:t xml:space="preserve"> </w:t>
      </w:r>
      <w:r>
        <w:rPr>
          <w:i/>
          <w:iCs/>
        </w:rPr>
        <w:t xml:space="preserve">Gut</w:t>
      </w:r>
      <w:r>
        <w:t xml:space="preserve">,</w:t>
      </w:r>
      <w:r>
        <w:t xml:space="preserve"> </w:t>
      </w:r>
      <w:r>
        <w:rPr>
          <w:i/>
          <w:iCs/>
        </w:rPr>
        <w:t xml:space="preserve">60</w:t>
      </w:r>
      <w:r>
        <w:t xml:space="preserve">(10), 1309–1316.</w:t>
      </w:r>
      <w:r>
        <w:t xml:space="preserve"> </w:t>
      </w:r>
      <w:hyperlink r:id="rId30">
        <w:r>
          <w:rPr>
            <w:rStyle w:val="Hyperlink"/>
          </w:rPr>
          <w:t xml:space="preserve">https://doi.org/10.1136/gut.2010.228874</w:t>
        </w:r>
      </w:hyperlink>
    </w:p>
    <w:p>
      <w:pPr>
        <w:pStyle w:val="BodyText"/>
      </w:pPr>
      <w:r>
        <w:t xml:space="preserve">Horan, T. C., Andrus, M., &amp; Dudeck, M. A. (2008). CDC/NHSN surveillance definition of health care-associated infection and criteria for specific types of infections in the acute care setting.</w:t>
      </w:r>
      <w:r>
        <w:t xml:space="preserve"> </w:t>
      </w:r>
      <w:r>
        <w:rPr>
          <w:i/>
          <w:iCs/>
        </w:rPr>
        <w:t xml:space="preserve">American Journal of Infection Control</w:t>
      </w:r>
      <w:r>
        <w:t xml:space="preserve">,</w:t>
      </w:r>
      <w:r>
        <w:t xml:space="preserve"> </w:t>
      </w:r>
      <w:r>
        <w:rPr>
          <w:i/>
          <w:iCs/>
        </w:rPr>
        <w:t xml:space="preserve">36</w:t>
      </w:r>
      <w:r>
        <w:t xml:space="preserve">(5), 309–332.</w:t>
      </w:r>
      <w:r>
        <w:t xml:space="preserve"> </w:t>
      </w:r>
      <w:hyperlink r:id="rId31">
        <w:r>
          <w:rPr>
            <w:rStyle w:val="Hyperlink"/>
          </w:rPr>
          <w:t xml:space="preserve">https://doi.org/10.1016/j.ajic.2008.03.002</w:t>
        </w:r>
      </w:hyperlink>
    </w:p>
    <w:p>
      <w:pPr>
        <w:pStyle w:val="BodyText"/>
      </w:pPr>
      <w:r>
        <w:t xml:space="preserve">Inker, L. A., Eneanya, N. D., Coresh, J., Tighiouart, H., Wang, D., Sang, Y., Crews, D. C., Doria, A., Estrella, M. M., Froissart, M., Grams, M. E., Greene, T., Grubb, A., Gudnason, V., Gutiérrez, O. M., Kalil, R., Karger, A. B., Mauer, M., Navis, G., … Chronic Kidney Disease Epidemiology Collaboration. (2021). New creatinine- and cystatin C–based equations to estimate GFR without race.</w:t>
      </w:r>
      <w:r>
        <w:t xml:space="preserve"> </w:t>
      </w:r>
      <w:r>
        <w:rPr>
          <w:i/>
          <w:iCs/>
        </w:rPr>
        <w:t xml:space="preserve">New England Journal of Medicine</w:t>
      </w:r>
      <w:r>
        <w:t xml:space="preserve">,</w:t>
      </w:r>
      <w:r>
        <w:t xml:space="preserve"> </w:t>
      </w:r>
      <w:r>
        <w:rPr>
          <w:i/>
          <w:iCs/>
        </w:rPr>
        <w:t xml:space="preserve">385</w:t>
      </w:r>
      <w:r>
        <w:t xml:space="preserve">(19), 1737–1749.</w:t>
      </w:r>
      <w:r>
        <w:t xml:space="preserve"> </w:t>
      </w:r>
      <w:hyperlink r:id="rId32">
        <w:r>
          <w:rPr>
            <w:rStyle w:val="Hyperlink"/>
          </w:rPr>
          <w:t xml:space="preserve">https://doi.org/10.1056/NEJMoa2102953</w:t>
        </w:r>
      </w:hyperlink>
    </w:p>
    <w:p>
      <w:pPr>
        <w:pStyle w:val="BodyText"/>
      </w:pPr>
      <w:r>
        <w:t xml:space="preserve">Isselbacher, E. M., Preventza, O., Hamilton Black, J., 3rd, Augoustides, J. G., Beck, A. W., Bolen, M. A., Braverman, A. C., Bray, B. E., Browne, M. M., Collins, J. D., Coselli, J. S., Desai, N. D., Fischbein, M. P., Gornik, H. L., Hornick, M. A., Huang, C. C., Johnston, W. F., Kelly, R. F., Klingensmith, N. J., … ACC/AHA Joint Committee on Clinical Practice Guidelines. (2022). 2022 ACC/AHA Guideline for the diagnosis and management of aortic disease.</w:t>
      </w:r>
      <w:r>
        <w:t xml:space="preserve"> </w:t>
      </w:r>
      <w:r>
        <w:rPr>
          <w:i/>
          <w:iCs/>
        </w:rPr>
        <w:t xml:space="preserve">Circulation</w:t>
      </w:r>
      <w:r>
        <w:t xml:space="preserve">,</w:t>
      </w:r>
      <w:r>
        <w:t xml:space="preserve"> </w:t>
      </w:r>
      <w:r>
        <w:rPr>
          <w:i/>
          <w:iCs/>
        </w:rPr>
        <w:t xml:space="preserve">146</w:t>
      </w:r>
      <w:r>
        <w:t xml:space="preserve">(24), e334–e482.</w:t>
      </w:r>
      <w:r>
        <w:t xml:space="preserve"> </w:t>
      </w:r>
      <w:hyperlink r:id="rId33">
        <w:r>
          <w:rPr>
            <w:rStyle w:val="Hyperlink"/>
          </w:rPr>
          <w:t xml:space="preserve">https://doi.org/10.1161/CIR.0000000000001106</w:t>
        </w:r>
      </w:hyperlink>
    </w:p>
    <w:p>
      <w:pPr>
        <w:pStyle w:val="BodyText"/>
      </w:pPr>
      <w:r>
        <w:t xml:space="preserve">Kaul, P. (2017). Sternal reconstruction after post-sternotomy mediastinitis.</w:t>
      </w:r>
      <w:r>
        <w:t xml:space="preserve"> </w:t>
      </w:r>
      <w:r>
        <w:rPr>
          <w:i/>
          <w:iCs/>
        </w:rPr>
        <w:t xml:space="preserve">Journal of Cardiothoracic Surgery</w:t>
      </w:r>
      <w:r>
        <w:t xml:space="preserve">,</w:t>
      </w:r>
      <w:r>
        <w:t xml:space="preserve"> </w:t>
      </w:r>
      <w:r>
        <w:rPr>
          <w:i/>
          <w:iCs/>
        </w:rPr>
        <w:t xml:space="preserve">12</w:t>
      </w:r>
      <w:r>
        <w:t xml:space="preserve">(1), Article 94.</w:t>
      </w:r>
      <w:r>
        <w:t xml:space="preserve"> </w:t>
      </w:r>
      <w:hyperlink r:id="rId34">
        <w:r>
          <w:rPr>
            <w:rStyle w:val="Hyperlink"/>
          </w:rPr>
          <w:t xml:space="preserve">https://doi.org/10.1186/s13019-017-0656-7</w:t>
        </w:r>
      </w:hyperlink>
    </w:p>
    <w:p>
      <w:pPr>
        <w:pStyle w:val="BodyText"/>
      </w:pPr>
      <w:r>
        <w:t xml:space="preserve">KDIGO CKD Work Group. (2013). KDIGO 2012 clinical practice guideline for the evaluation and management of chronic kidney disease.</w:t>
      </w:r>
      <w:r>
        <w:t xml:space="preserve"> </w:t>
      </w:r>
      <w:r>
        <w:rPr>
          <w:i/>
          <w:iCs/>
        </w:rPr>
        <w:t xml:space="preserve">Kidney International Supplements</w:t>
      </w:r>
      <w:r>
        <w:t xml:space="preserve">,</w:t>
      </w:r>
      <w:r>
        <w:t xml:space="preserve"> </w:t>
      </w:r>
      <w:r>
        <w:rPr>
          <w:i/>
          <w:iCs/>
        </w:rPr>
        <w:t xml:space="preserve">3</w:t>
      </w:r>
      <w:r>
        <w:t xml:space="preserve">(1), 1–150.</w:t>
      </w:r>
      <w:r>
        <w:t xml:space="preserve"> </w:t>
      </w:r>
      <w:hyperlink r:id="rId35">
        <w:r>
          <w:rPr>
            <w:rStyle w:val="Hyperlink"/>
          </w:rPr>
          <w:t xml:space="preserve">https://doi.org/10.1038/kisup.2012.73</w:t>
        </w:r>
      </w:hyperlink>
    </w:p>
    <w:p>
      <w:pPr>
        <w:pStyle w:val="BodyText"/>
      </w:pPr>
      <w:r>
        <w:t xml:space="preserve">Lau, C., Gregg, A., Ram, E., Mack, C. A., Krieger, K., Rahouma, M., Gambardella, I., Soletti, G., Jr., Gaudino, M., &amp; Girardi, L. N. (2025). Long-term survival and operative outcomes of the Bentall procedure for aortic root aneurysm, aortic dissection, and endocarditis.</w:t>
      </w:r>
      <w:r>
        <w:t xml:space="preserve"> </w:t>
      </w:r>
      <w:r>
        <w:rPr>
          <w:i/>
          <w:iCs/>
        </w:rPr>
        <w:t xml:space="preserve">The Journal of Thoracic and Cardiovascular Surgery</w:t>
      </w:r>
      <w:r>
        <w:t xml:space="preserve">. Advance online publication.</w:t>
      </w:r>
      <w:r>
        <w:t xml:space="preserve"> </w:t>
      </w:r>
      <w:hyperlink r:id="rId36">
        <w:r>
          <w:rPr>
            <w:rStyle w:val="Hyperlink"/>
          </w:rPr>
          <w:t xml:space="preserve">https://doi.org/10.1016/j.jtcvs.2025.09.018</w:t>
        </w:r>
      </w:hyperlink>
    </w:p>
    <w:p>
      <w:pPr>
        <w:pStyle w:val="BodyText"/>
      </w:pPr>
      <w:r>
        <w:t xml:space="preserve">Mach, F., Baigent, C., Catapano, A. L., Koskinas, K. C., Casula, M., Badimon, L., Chapman, M. J., De Backer, G. G., Delgado, V., Ference, B. A., Graham, I. M., Taskinen, M. R., Tokgözoğlu, L., Vardas, P. E., &amp; ESC Scientific Document Group. (2020). 2019 ESC/EAS Guidelines for the management of dyslipidaemias: Lipid modification to reduce cardiovascular risk.</w:t>
      </w:r>
      <w:r>
        <w:t xml:space="preserve"> </w:t>
      </w:r>
      <w:r>
        <w:rPr>
          <w:i/>
          <w:iCs/>
        </w:rPr>
        <w:t xml:space="preserve">European Heart Journal</w:t>
      </w:r>
      <w:r>
        <w:t xml:space="preserve">,</w:t>
      </w:r>
      <w:r>
        <w:t xml:space="preserve"> </w:t>
      </w:r>
      <w:r>
        <w:rPr>
          <w:i/>
          <w:iCs/>
        </w:rPr>
        <w:t xml:space="preserve">41</w:t>
      </w:r>
      <w:r>
        <w:t xml:space="preserve">(1), 111–188.</w:t>
      </w:r>
      <w:r>
        <w:t xml:space="preserve"> </w:t>
      </w:r>
      <w:hyperlink r:id="rId37">
        <w:r>
          <w:rPr>
            <w:rStyle w:val="Hyperlink"/>
          </w:rPr>
          <w:t xml:space="preserve">https://doi.org/10.1093/eurheartj/ehz455</w:t>
        </w:r>
      </w:hyperlink>
    </w:p>
    <w:p>
      <w:pPr>
        <w:pStyle w:val="BodyText"/>
      </w:pPr>
      <w:r>
        <w:t xml:space="preserve">Mancia, G., Kreutz, R., Brunström, M., Burnier, M., Grassi, G., Januszewicz, A., Muiesan, M. L., Tsioufis, K., Agabiti-Rosei, E., Azizi, M., Benetos, A., Borghi, C., Erdine, S., Gerdts, E., Kahan, T., Konradi, A., Coca, A., McManus, R., Parati, G., … ESH Scientific Council. (2023). 2023 ESH Guidelines for the management of arterial hypertension.</w:t>
      </w:r>
      <w:r>
        <w:t xml:space="preserve"> </w:t>
      </w:r>
      <w:r>
        <w:rPr>
          <w:i/>
          <w:iCs/>
        </w:rPr>
        <w:t xml:space="preserve">Journal of Hypertension</w:t>
      </w:r>
      <w:r>
        <w:t xml:space="preserve">,</w:t>
      </w:r>
      <w:r>
        <w:t xml:space="preserve"> </w:t>
      </w:r>
      <w:r>
        <w:rPr>
          <w:i/>
          <w:iCs/>
        </w:rPr>
        <w:t xml:space="preserve">41</w:t>
      </w:r>
      <w:r>
        <w:t xml:space="preserve">(12), 1874–2071.</w:t>
      </w:r>
      <w:r>
        <w:t xml:space="preserve"> </w:t>
      </w:r>
      <w:hyperlink r:id="rId38">
        <w:r>
          <w:rPr>
            <w:rStyle w:val="Hyperlink"/>
          </w:rPr>
          <w:t xml:space="preserve">https://doi.org/10.1097/HJH.0000000000003480</w:t>
        </w:r>
      </w:hyperlink>
    </w:p>
    <w:p>
      <w:pPr>
        <w:pStyle w:val="BodyText"/>
      </w:pPr>
      <w:r>
        <w:t xml:space="preserve">McDonagh, T. A., Metra, M., Adamo, M., Gardner, R. S., Baumbach, A., Böhm, M., Burri, H., Butler, J., Čelutkienė, J., Chioncel, O., Cleland, J. G. F., Coats, A. J. S., Crespo-Leiro, M. G., Farmakis, D., Gilard, M., Heymans, S., Hoes, A. W., Jaarsma, T., Jankowska, E. A., … ESC Scientific Document Group. (2021). 2021 ESC Guidelines for the diagnosis and treatment of acute and chronic heart failure.</w:t>
      </w:r>
      <w:r>
        <w:t xml:space="preserve"> </w:t>
      </w:r>
      <w:r>
        <w:rPr>
          <w:i/>
          <w:iCs/>
        </w:rPr>
        <w:t xml:space="preserve">European Heart Journal</w:t>
      </w:r>
      <w:r>
        <w:t xml:space="preserve">,</w:t>
      </w:r>
      <w:r>
        <w:t xml:space="preserve"> </w:t>
      </w:r>
      <w:r>
        <w:rPr>
          <w:i/>
          <w:iCs/>
        </w:rPr>
        <w:t xml:space="preserve">42</w:t>
      </w:r>
      <w:r>
        <w:t xml:space="preserve">(36), 3599–3726.</w:t>
      </w:r>
      <w:r>
        <w:t xml:space="preserve"> </w:t>
      </w:r>
      <w:hyperlink r:id="rId39">
        <w:r>
          <w:rPr>
            <w:rStyle w:val="Hyperlink"/>
          </w:rPr>
          <w:t xml:space="preserve">https://doi.org/10.1093/eurheartj/ehab368</w:t>
        </w:r>
      </w:hyperlink>
    </w:p>
    <w:p>
      <w:pPr>
        <w:pStyle w:val="BodyText"/>
      </w:pPr>
      <w:r>
        <w:t xml:space="preserve">McEvoy, J. W., McCarthy, C. P., Bruno, R. M., Brouwers, S., Canavan, M., Ceconi, C., Christodorescu, R. M., D'Agostino, R. B., Sr., de Simone, G., Ferro, C. J., Gevaert, S., Jordan, J., Kahan, T., Mahfoud, F., McManus, R. J., Moran, A. E., Narkiewicz, K., Nilsson, P. M., Pyörälä, M., … ESC Scientific Document Group. (2024). 2024 ESC Guidelines for the management of elevated blood pressure and hypertension.</w:t>
      </w:r>
      <w:r>
        <w:t xml:space="preserve"> </w:t>
      </w:r>
      <w:r>
        <w:rPr>
          <w:i/>
          <w:iCs/>
        </w:rPr>
        <w:t xml:space="preserve">European Heart Journal</w:t>
      </w:r>
      <w:r>
        <w:t xml:space="preserve">,</w:t>
      </w:r>
      <w:r>
        <w:t xml:space="preserve"> </w:t>
      </w:r>
      <w:r>
        <w:rPr>
          <w:i/>
          <w:iCs/>
        </w:rPr>
        <w:t xml:space="preserve">45</w:t>
      </w:r>
      <w:r>
        <w:t xml:space="preserve">(38), 3897–3972.</w:t>
      </w:r>
      <w:r>
        <w:t xml:space="preserve"> </w:t>
      </w:r>
      <w:hyperlink r:id="rId40">
        <w:r>
          <w:rPr>
            <w:rStyle w:val="Hyperlink"/>
          </w:rPr>
          <w:t xml:space="preserve">https://doi.org/10.1093/eurheartj/ehae178</w:t>
        </w:r>
      </w:hyperlink>
    </w:p>
    <w:p>
      <w:pPr>
        <w:pStyle w:val="BodyText"/>
      </w:pPr>
      <w:r>
        <w:t xml:space="preserve">Melby, S. J., Zierer, A., Damiano, R. J., Jr., &amp; Moon, M. R. (2013). Importance of blood pressure control after repair of acute type A aortic dissection: 25-year follow-up in 252 patients.</w:t>
      </w:r>
      <w:r>
        <w:t xml:space="preserve"> </w:t>
      </w:r>
      <w:r>
        <w:rPr>
          <w:i/>
          <w:iCs/>
        </w:rPr>
        <w:t xml:space="preserve">The Journal of Clinical Hypertension</w:t>
      </w:r>
      <w:r>
        <w:t xml:space="preserve">,</w:t>
      </w:r>
      <w:r>
        <w:t xml:space="preserve"> </w:t>
      </w:r>
      <w:r>
        <w:rPr>
          <w:i/>
          <w:iCs/>
        </w:rPr>
        <w:t xml:space="preserve">15</w:t>
      </w:r>
      <w:r>
        <w:t xml:space="preserve">(1), 63–68.</w:t>
      </w:r>
      <w:r>
        <w:t xml:space="preserve"> </w:t>
      </w:r>
      <w:hyperlink r:id="rId41">
        <w:r>
          <w:rPr>
            <w:rStyle w:val="Hyperlink"/>
          </w:rPr>
          <w:t xml:space="preserve">https://doi.org/10.1111/jch.12024</w:t>
        </w:r>
      </w:hyperlink>
    </w:p>
    <w:p>
      <w:pPr>
        <w:pStyle w:val="BodyText"/>
      </w:pPr>
      <w:r>
        <w:t xml:space="preserve">Rosendaal, F. R., Cannegieter, S. C., van der Meer, F. J., &amp; Briët, E. (1993). A method to determine the optimal intensity of oral anticoagulant therapy.</w:t>
      </w:r>
      <w:r>
        <w:t xml:space="preserve"> </w:t>
      </w:r>
      <w:r>
        <w:rPr>
          <w:i/>
          <w:iCs/>
        </w:rPr>
        <w:t xml:space="preserve">Thrombosis and Haemostasis</w:t>
      </w:r>
      <w:r>
        <w:t xml:space="preserve">,</w:t>
      </w:r>
      <w:r>
        <w:t xml:space="preserve"> </w:t>
      </w:r>
      <w:r>
        <w:rPr>
          <w:i/>
          <w:iCs/>
        </w:rPr>
        <w:t xml:space="preserve">69</w:t>
      </w:r>
      <w:r>
        <w:t xml:space="preserve">(3), 236–239.</w:t>
      </w:r>
      <w:r>
        <w:t xml:space="preserve"> </w:t>
      </w:r>
      <w:hyperlink r:id="rId42">
        <w:r>
          <w:rPr>
            <w:rStyle w:val="Hyperlink"/>
          </w:rPr>
          <w:t xml:space="preserve">https://doi.org/10.1055/s-0038-1651587</w:t>
        </w:r>
      </w:hyperlink>
    </w:p>
    <w:p>
      <w:pPr>
        <w:pStyle w:val="BodyText"/>
      </w:pPr>
      <w:r>
        <w:t xml:space="preserve">Snook, J., Bhala, N., Beales, I. L. P., Cannings, D., Kightley, C., Logan, R. P. H., Pritchard, D. M., Sidhu, R., Surgenor, S., Thomas, W., Verma, A. M., &amp; Goddard, A. F. (2021). British Society of Gastroenterology guidelines for the management of iron deficiency anaemia in adults.</w:t>
      </w:r>
      <w:r>
        <w:t xml:space="preserve"> </w:t>
      </w:r>
      <w:r>
        <w:rPr>
          <w:i/>
          <w:iCs/>
        </w:rPr>
        <w:t xml:space="preserve">Gut</w:t>
      </w:r>
      <w:r>
        <w:t xml:space="preserve">,</w:t>
      </w:r>
      <w:r>
        <w:t xml:space="preserve"> </w:t>
      </w:r>
      <w:r>
        <w:rPr>
          <w:i/>
          <w:iCs/>
        </w:rPr>
        <w:t xml:space="preserve">70</w:t>
      </w:r>
      <w:r>
        <w:t xml:space="preserve">(11), 2030–2051.</w:t>
      </w:r>
      <w:r>
        <w:t xml:space="preserve"> </w:t>
      </w:r>
      <w:hyperlink r:id="rId43">
        <w:r>
          <w:rPr>
            <w:rStyle w:val="Hyperlink"/>
          </w:rPr>
          <w:t xml:space="preserve">https://doi.org/10.1136/gutjnl-2021-325210</w:t>
        </w:r>
      </w:hyperlink>
    </w:p>
    <w:p>
      <w:pPr>
        <w:pStyle w:val="BodyText"/>
      </w:pPr>
      <w:r>
        <w:t xml:space="preserve">Vahanian, A., Beyersdorf, F., Praz, F., Milojevic, M., Baldus, S., Bauersachs, J., Capodanno, D., Conradi, L., De Bonis, M., De Paulis, R., Delgado, V., Freemantle, N., Gilard, M., Haugaa, K. H., Jeppsson, A., Jüni, P., Pierard, L., Prendergast, B. D., Sádaba, J. R., … ESC/EACTS Scientific Document Group. (2022). 2021 ESC/EACTS Guidelines for the management of valvular heart disease [2].</w:t>
      </w:r>
      <w:r>
        <w:t xml:space="preserve"> </w:t>
      </w:r>
      <w:r>
        <w:rPr>
          <w:i/>
          <w:iCs/>
        </w:rPr>
        <w:t xml:space="preserve">European Heart Journal</w:t>
      </w:r>
      <w:r>
        <w:t xml:space="preserve">,</w:t>
      </w:r>
      <w:r>
        <w:t xml:space="preserve"> </w:t>
      </w:r>
      <w:r>
        <w:rPr>
          <w:i/>
          <w:iCs/>
        </w:rPr>
        <w:t xml:space="preserve">43</w:t>
      </w:r>
      <w:r>
        <w:t xml:space="preserve">(7), 561–632.</w:t>
      </w:r>
      <w:r>
        <w:t xml:space="preserve"> </w:t>
      </w:r>
      <w:hyperlink r:id="rId44">
        <w:r>
          <w:rPr>
            <w:rStyle w:val="Hyperlink"/>
          </w:rPr>
          <w:t xml:space="preserve">https://doi.org/10.1093/eurheartj/ehab395</w:t>
        </w:r>
      </w:hyperlink>
    </w:p>
    <w:p>
      <w:pPr>
        <w:pStyle w:val="BodyText"/>
      </w:pPr>
      <w:r>
        <w:t xml:space="preserve">Zhang, Q., Simoneau, G., Verstuyft, C., Drouet, L., Bal dit Sollier, C., Alvarez, J. C., Rizzo-Padoin, N., Bergmann, J. F., Becquemont, L., &amp; Mouly, S. (2011). Amoxicillin/clavulanic acid–warfarin drug interaction: A randomized controlled trial.</w:t>
      </w:r>
      <w:r>
        <w:t xml:space="preserve"> </w:t>
      </w:r>
      <w:r>
        <w:rPr>
          <w:i/>
          <w:iCs/>
        </w:rPr>
        <w:t xml:space="preserve">British Journal of Clinical Pharmacology</w:t>
      </w:r>
      <w:r>
        <w:t xml:space="preserve">,</w:t>
      </w:r>
      <w:r>
        <w:t xml:space="preserve"> </w:t>
      </w:r>
      <w:r>
        <w:rPr>
          <w:i/>
          <w:iCs/>
        </w:rPr>
        <w:t xml:space="preserve">71</w:t>
      </w:r>
      <w:r>
        <w:t xml:space="preserve">(2), 232–236.</w:t>
      </w:r>
      <w:r>
        <w:t xml:space="preserve"> </w:t>
      </w:r>
      <w:hyperlink r:id="rId45">
        <w:r>
          <w:rPr>
            <w:rStyle w:val="Hyperlink"/>
          </w:rPr>
          <w:t xml:space="preserve">https://doi.org/10.1111/j.1365-2125.2010.03824.x</w:t>
        </w:r>
      </w:hyperlink>
    </w:p>
    <w:p>
      <w:r>
        <w:pict>
          <v:rect style="width:0;height:1.5pt" o:hralign="center" o:hrstd="t" o:hr="t"/>
        </w:pict>
      </w:r>
    </w:p>
    <w:bookmarkEnd w:id="46"/>
    <w:bookmarkStart w:id="47" w:name="X9b745dbfaefc165d644a4b2d7d394f38838cfd7"/>
    <w:p>
      <w:pPr>
        <w:pStyle w:val="Heading2"/>
      </w:pPr>
      <w:r>
        <w:rPr>
          <w:rStyle w:val="SectionNumber"/>
        </w:rPr>
        <w:t xml:space="preserve">1.8</w:t>
      </w:r>
      <w:r>
        <w:tab/>
      </w:r>
      <w:r>
        <w:t xml:space="preserve">7. Sorumluluk Reddi</w:t>
      </w:r>
    </w:p>
    <w:p>
      <w:pPr>
        <w:pStyle w:val="FirstParagraph"/>
      </w:pPr>
      <w:r>
        <w:t xml:space="preserve">Bu rapor, Alaattin Sönmez'in (64E) 19 Şubat 2026 – 16 Eylül 2026 tarihleri arasındaki nesnel klinik verilerinin (2.100+ laboratuvar ölçümü, 500 kan basıncı kaydı, 178 kilo ölçümü, 67 ilaç değişikliği) uluslararası kardiyovasküler cerrahi ve hematoloji kılavuzlarıyla (ESC, ACC/AHA, EACTS/STS, BSG, KDIGO) sentezlenmesi sonucu oluşturulmuş bir</w:t>
      </w:r>
      <w:r>
        <w:t xml:space="preserve"> </w:t>
      </w:r>
      <w:r>
        <w:rPr>
          <w:b/>
          <w:bCs/>
        </w:rPr>
        <w:t xml:space="preserve">cerrahi karar destek aracıdır</w:t>
      </w:r>
      <w:r>
        <w:t xml:space="preserve">. Tıbbi tanı, reçete veya tedavi talimatı niteliği taşımaz. Nihai kararlar, hastayı takip eden yetkili hekim heyetine (KVC, Hematoloji, Kardiyoloji, Radyoloji, Enfeksiyon Hastalıkları) aittir.</w:t>
      </w:r>
    </w:p>
    <w:p>
      <w:pPr>
        <w:pStyle w:val="BodyText"/>
      </w:pPr>
      <w:r>
        <w:rPr>
          <w:b/>
          <w:bCs/>
        </w:rPr>
        <w:t xml:space="preserve">Konsültasyon Kodu:</w:t>
      </w:r>
      <w:r>
        <w:t xml:space="preserve"> </w:t>
      </w:r>
      <w:r>
        <w:t xml:space="preserve">CLN-360-DSV4-20260916-208</w:t>
      </w:r>
      <w:r>
        <w:t xml:space="preserve"> </w:t>
      </w:r>
      <w:r>
        <w:rPr>
          <w:b/>
          <w:bCs/>
        </w:rPr>
        <w:t xml:space="preserve">Model:</w:t>
      </w:r>
      <w:r>
        <w:t xml:space="preserve"> </w:t>
      </w:r>
      <w:r>
        <w:t xml:space="preserve">DeepSeek V4 (Cerrahi Sağkalım &amp; Biyomekanik Aort Analizi)</w:t>
      </w:r>
      <w:r>
        <w:t xml:space="preserve"> </w:t>
      </w:r>
      <w:r>
        <w:rPr>
          <w:b/>
          <w:bCs/>
        </w:rPr>
        <w:t xml:space="preserve">Veri Seti:</w:t>
      </w:r>
      <w:r>
        <w:t xml:space="preserve"> </w:t>
      </w:r>
      <w:r>
        <w:t xml:space="preserve">2026-09-16_10-33-58_alaattin-sonmez_all-data.json</w:t>
      </w:r>
      <w:r>
        <w:t xml:space="preserve"> </w:t>
      </w:r>
      <w:r>
        <w:rPr>
          <w:b/>
          <w:bCs/>
        </w:rPr>
        <w:t xml:space="preserve">Postoperatif Gün:</w:t>
      </w:r>
      <w:r>
        <w:t xml:space="preserve"> </w:t>
      </w:r>
      <w:r>
        <w:t xml:space="preserve">208 (20 Şubat 2026 Bentall Prosedürü)</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doi.org/10.1016/j.ajic.2008.03.002" TargetMode="External" /><Relationship Type="http://schemas.openxmlformats.org/officeDocument/2006/relationships/hyperlink" Id="rId36" Target="https://doi.org/10.1016/j.jtcvs.2025.09.018" TargetMode="External" /><Relationship Type="http://schemas.openxmlformats.org/officeDocument/2006/relationships/hyperlink" Id="rId35" Target="https://doi.org/10.1038/kisup.2012.73" TargetMode="External" /><Relationship Type="http://schemas.openxmlformats.org/officeDocument/2006/relationships/hyperlink" Id="rId42" Target="https://doi.org/10.1055/s-0038-1651587" TargetMode="External" /><Relationship Type="http://schemas.openxmlformats.org/officeDocument/2006/relationships/hyperlink" Id="rId32" Target="https://doi.org/10.1056/NEJMoa2102953" TargetMode="External" /><Relationship Type="http://schemas.openxmlformats.org/officeDocument/2006/relationships/hyperlink" Id="rId26" Target="https://doi.org/10.1056/NEJMra1401038" TargetMode="External" /><Relationship Type="http://schemas.openxmlformats.org/officeDocument/2006/relationships/hyperlink" Id="rId27" Target="https://doi.org/10.1093/ejcts/ezad426" TargetMode="External" /><Relationship Type="http://schemas.openxmlformats.org/officeDocument/2006/relationships/hyperlink" Id="rId39" Target="https://doi.org/10.1093/eurheartj/ehab368" TargetMode="External" /><Relationship Type="http://schemas.openxmlformats.org/officeDocument/2006/relationships/hyperlink" Id="rId44" Target="https://doi.org/10.1093/eurheartj/ehab395" TargetMode="External" /><Relationship Type="http://schemas.openxmlformats.org/officeDocument/2006/relationships/hyperlink" Id="rId28" Target="https://doi.org/10.1093/eurheartj/ehad193" TargetMode="External" /><Relationship Type="http://schemas.openxmlformats.org/officeDocument/2006/relationships/hyperlink" Id="rId40" Target="https://doi.org/10.1093/eurheartj/ehae178" TargetMode="External" /><Relationship Type="http://schemas.openxmlformats.org/officeDocument/2006/relationships/hyperlink" Id="rId37" Target="https://doi.org/10.1093/eurheartj/ehz455" TargetMode="External" /><Relationship Type="http://schemas.openxmlformats.org/officeDocument/2006/relationships/hyperlink" Id="rId38" Target="https://doi.org/10.1097/HJH.0000000000003480" TargetMode="External" /><Relationship Type="http://schemas.openxmlformats.org/officeDocument/2006/relationships/hyperlink" Id="rId45" Target="https://doi.org/10.1111/j.1365-2125.2010.03824.x" TargetMode="External" /><Relationship Type="http://schemas.openxmlformats.org/officeDocument/2006/relationships/hyperlink" Id="rId41" Target="https://doi.org/10.1111/jch.12024" TargetMode="External" /><Relationship Type="http://schemas.openxmlformats.org/officeDocument/2006/relationships/hyperlink" Id="rId30" Target="https://doi.org/10.1136/gut.2010.228874" TargetMode="External" /><Relationship Type="http://schemas.openxmlformats.org/officeDocument/2006/relationships/hyperlink" Id="rId43" Target="https://doi.org/10.1136/gutjnl-2021-325210" TargetMode="External" /><Relationship Type="http://schemas.openxmlformats.org/officeDocument/2006/relationships/hyperlink" Id="rId33" Target="https://doi.org/10.1161/CIR.0000000000001106" TargetMode="External" /><Relationship Type="http://schemas.openxmlformats.org/officeDocument/2006/relationships/hyperlink" Id="rId29" Target="https://doi.org/10.1161/HCG.0000000000000075" TargetMode="External" /><Relationship Type="http://schemas.openxmlformats.org/officeDocument/2006/relationships/hyperlink" Id="rId34" Target="https://doi.org/10.1186/s13019-017-0656-7"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16/j.ajic.2008.03.002" TargetMode="External" /><Relationship Type="http://schemas.openxmlformats.org/officeDocument/2006/relationships/hyperlink" Id="rId36" Target="https://doi.org/10.1016/j.jtcvs.2025.09.018" TargetMode="External" /><Relationship Type="http://schemas.openxmlformats.org/officeDocument/2006/relationships/hyperlink" Id="rId35" Target="https://doi.org/10.1038/kisup.2012.73" TargetMode="External" /><Relationship Type="http://schemas.openxmlformats.org/officeDocument/2006/relationships/hyperlink" Id="rId42" Target="https://doi.org/10.1055/s-0038-1651587" TargetMode="External" /><Relationship Type="http://schemas.openxmlformats.org/officeDocument/2006/relationships/hyperlink" Id="rId32" Target="https://doi.org/10.1056/NEJMoa2102953" TargetMode="External" /><Relationship Type="http://schemas.openxmlformats.org/officeDocument/2006/relationships/hyperlink" Id="rId26" Target="https://doi.org/10.1056/NEJMra1401038" TargetMode="External" /><Relationship Type="http://schemas.openxmlformats.org/officeDocument/2006/relationships/hyperlink" Id="rId27" Target="https://doi.org/10.1093/ejcts/ezad426" TargetMode="External" /><Relationship Type="http://schemas.openxmlformats.org/officeDocument/2006/relationships/hyperlink" Id="rId39" Target="https://doi.org/10.1093/eurheartj/ehab368" TargetMode="External" /><Relationship Type="http://schemas.openxmlformats.org/officeDocument/2006/relationships/hyperlink" Id="rId44" Target="https://doi.org/10.1093/eurheartj/ehab395" TargetMode="External" /><Relationship Type="http://schemas.openxmlformats.org/officeDocument/2006/relationships/hyperlink" Id="rId28" Target="https://doi.org/10.1093/eurheartj/ehad193" TargetMode="External" /><Relationship Type="http://schemas.openxmlformats.org/officeDocument/2006/relationships/hyperlink" Id="rId40" Target="https://doi.org/10.1093/eurheartj/ehae178" TargetMode="External" /><Relationship Type="http://schemas.openxmlformats.org/officeDocument/2006/relationships/hyperlink" Id="rId37" Target="https://doi.org/10.1093/eurheartj/ehz455" TargetMode="External" /><Relationship Type="http://schemas.openxmlformats.org/officeDocument/2006/relationships/hyperlink" Id="rId38" Target="https://doi.org/10.1097/HJH.0000000000003480" TargetMode="External" /><Relationship Type="http://schemas.openxmlformats.org/officeDocument/2006/relationships/hyperlink" Id="rId45" Target="https://doi.org/10.1111/j.1365-2125.2010.03824.x" TargetMode="External" /><Relationship Type="http://schemas.openxmlformats.org/officeDocument/2006/relationships/hyperlink" Id="rId41" Target="https://doi.org/10.1111/jch.12024" TargetMode="External" /><Relationship Type="http://schemas.openxmlformats.org/officeDocument/2006/relationships/hyperlink" Id="rId30" Target="https://doi.org/10.1136/gut.2010.228874" TargetMode="External" /><Relationship Type="http://schemas.openxmlformats.org/officeDocument/2006/relationships/hyperlink" Id="rId43" Target="https://doi.org/10.1136/gutjnl-2021-325210" TargetMode="External" /><Relationship Type="http://schemas.openxmlformats.org/officeDocument/2006/relationships/hyperlink" Id="rId33" Target="https://doi.org/10.1161/CIR.0000000000001106" TargetMode="External" /><Relationship Type="http://schemas.openxmlformats.org/officeDocument/2006/relationships/hyperlink" Id="rId29" Target="https://doi.org/10.1161/HCG.0000000000000075" TargetMode="External" /><Relationship Type="http://schemas.openxmlformats.org/officeDocument/2006/relationships/hyperlink" Id="rId34" Target="https://doi.org/10.1186/s13019-017-065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 Cerrahi Karar Destek Raporu — DeepSeek V4 Konsültasyonu</dc:title>
  <dc:creator>DeepSeek V4 (Cerrahi Sağkalım &amp; Biyomekanik Aort Analizi)</dc:creator>
  <dc:language>tr-TR</dc:language>
  <dc:subject>Alaattin SÖNMEZ (64E) — Postoperatif 208. Gün — 16.09.2026</dc:subject>
  <cp:keywords/>
  <dcterms:created xsi:type="dcterms:W3CDTF">2026-09-16T09:29:37Z</dcterms:created>
  <dcterms:modified xsi:type="dcterms:W3CDTF">2026-09-16T09:29:37Z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rset">
    <vt:lpwstr>UTF-8</vt:lpwstr>
  </property>
</Properties>
</file>