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31d8421a9922e3fafac91d25bf2b79e81f9a92"/>
    <w:p>
      <w:pPr>
        <w:pStyle w:val="Heading1"/>
      </w:pPr>
      <w:r>
        <w:t xml:space="preserve">360° KAPSAMLI KLİNİK YÖNETİCİ VE KARAR DESTEK RAPORU</w:t>
      </w:r>
    </w:p>
    <w:p>
      <w:pPr>
        <w:pStyle w:val="FirstParagraph"/>
      </w:pPr>
      <w:r>
        <w:rPr>
          <w:b/>
          <w:bCs/>
        </w:rPr>
        <w:t xml:space="preserve">T.C. SAĞLIK BAKANLIĞI VE ÖZEL SAĞLIK KURUMLARI BİLGİ SİSTEMLERİ VERİ ENTEGRASYONU</w:t>
      </w:r>
      <w:r>
        <w:br/>
      </w:r>
      <w:r>
        <w:rPr>
          <w:i/>
          <w:iCs/>
        </w:rPr>
        <w:t xml:space="preserve">Rapor Tarihi: 16 Eylül 2026 | Değerlendirme Evresi: Ameliyat Sonrası 208. Gün (6.9 Ay)</w:t>
      </w:r>
      <w:r>
        <w:br/>
      </w:r>
      <w:r>
        <w:rPr>
          <w:i/>
          <w:iCs/>
        </w:rPr>
        <w:t xml:space="preserve">Hasta Adı: Alaattin SÖNMEZ | T.C. Kimlik No: 00000000000 | Yaş/Cinsiyet: 64E (01.01.1962) | Kan Grubu: 0 Rh (+)Pozitif</w:t>
      </w:r>
    </w:p>
    <w:p>
      <w:r>
        <w:pict>
          <v:rect style="width:0;height:1.5pt" o:hralign="center" o:hrstd="t" o:hr="t"/>
        </w:pict>
      </w:r>
    </w:p>
    <w:bookmarkStart w:id="10" w:name="yönetici-özeti-ve-klinik-indeksler"/>
    <w:p>
      <w:pPr>
        <w:pStyle w:val="Heading2"/>
      </w:pPr>
      <w:r>
        <w:t xml:space="preserve">1. YÖNETİCİ ÖZETİ VE KLİNİK İNDEKSLER</w:t>
      </w:r>
    </w:p>
    <w:bookmarkStart w:id="9" w:name="biyometrik-ve-klinik-künye"/>
    <w:p>
      <w:pPr>
        <w:pStyle w:val="Heading3"/>
      </w:pPr>
      <w:r>
        <w:t xml:space="preserve">1.1. Biyometrik ve Klinik Künye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Primer Tanılar:</w:t>
      </w:r>
      <w:r>
        <w:t xml:space="preserve"> </w:t>
      </w:r>
      <w:r>
        <w:t xml:space="preserve">Stanford Tip A Aort Diseksiyonu (DeBakey Tip I), 5.3 cm Asendan Aort Anevrizması, Ciddi Aort Kapak</w:t>
      </w:r>
      <w:r>
        <w:t xml:space="preserve"> </w:t>
      </w:r>
      <w:r>
        <w:t xml:space="preserve">Yetmezliği (Erbel et al., 2014; Hagan et al., 2000).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Cerrahi Operasyon:</w:t>
      </w:r>
      <w:r>
        <w:t xml:space="preserve"> </w:t>
      </w:r>
      <w:r>
        <w:t xml:space="preserve">Acil Bentall Prosedürü (20 Şubat 2026, Özel İskenderun Gelişim Hastanesi, Doç. Dr. Emre Kubat).</w:t>
      </w:r>
      <w:r>
        <w:t xml:space="preserve"> </w:t>
      </w:r>
      <w:r>
        <w:t xml:space="preserve">32 mm dokuma Dacron vasküler greft (Maquet Intergard Bovine), 25 mm çift yapraklı mekanik aort protezi (CORCYM</w:t>
      </w:r>
      <w:r>
        <w:t xml:space="preserve"> </w:t>
      </w:r>
      <w:r>
        <w:t xml:space="preserve">Carbomedics Standard Aortic) ve koroner buton reimplantasyonu (Bentall &amp; De Bono, 1968; Lau et al., 2025).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Sekonder Cerrahi / Komplikasyon:</w:t>
      </w:r>
      <w:r>
        <w:t xml:space="preserve"> </w:t>
      </w:r>
      <w:r>
        <w:t xml:space="preserve">Sternal yara dehissensi ve derin cerrahi alan enfeksiyonu revizyonu (23–28 Temmuz</w:t>
      </w:r>
      <w:r>
        <w:t xml:space="preserve"> </w:t>
      </w:r>
      <w:r>
        <w:t xml:space="preserve">2026, debridman, rewiring çelik sütürasyon, kan transfüzyonu ve parenteral antibiyoterapi) (El Oakley &amp; Wright, 1996;</w:t>
      </w:r>
      <w:r>
        <w:t xml:space="preserve"> </w:t>
      </w:r>
      <w:r>
        <w:t xml:space="preserve">Kaul, 2017).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Temel Klinik Göstergeler (15–16 Eylül 2026 Güncel):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Kan Basıncı (Son 7 Gün Ortalaması):</w:t>
      </w:r>
      <w:r>
        <w:t xml:space="preserve"> </w:t>
      </w:r>
      <w:r>
        <w:rPr>
          <w:b/>
          <w:bCs/>
        </w:rPr>
        <w:t xml:space="preserve">113 / 75 mmHg</w:t>
      </w:r>
      <w:r>
        <w:t xml:space="preserve"> </w:t>
      </w:r>
      <w:r>
        <w:t xml:space="preserve">(15 Eylül günü: 115 / 77 mmHg; 2024 ESC</w:t>
      </w:r>
      <w:r>
        <w:t xml:space="preserve"> </w:t>
      </w:r>
      <w:r>
        <w:t xml:space="preserve">hedefi</w:t>
      </w:r>
      <w:r>
        <w:t xml:space="preserve"> </w:t>
      </w:r>
      <m:oMath>
        <m:r>
          <m:rPr>
            <m:sty m:val="p"/>
          </m:rPr>
          <m:t>≤</m:t>
        </m:r>
        <m:r>
          <m:t>120</m:t>
        </m:r>
        <m:r>
          <m:rPr>
            <m:sty m:val="p"/>
          </m:rPr>
          <m:t>/</m:t>
        </m:r>
        <m:r>
          <m:t>80</m:t>
        </m:r>
      </m:oMath>
      <w:r>
        <w:t xml:space="preserve"> </w:t>
      </w:r>
      <w:r>
        <w:t xml:space="preserve">mmHg ile tam uyumlu) (Mancia et al., 2023; McEvoy et al., 2024; Melby et al., 2013).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Koagülasyon (Son INR):</w:t>
      </w:r>
      <w:r>
        <w:t xml:space="preserve"> </w:t>
      </w:r>
      <w:r>
        <w:rPr>
          <w:b/>
          <w:bCs/>
        </w:rPr>
        <w:t xml:space="preserve">1.95</w:t>
      </w:r>
      <w:r>
        <w:t xml:space="preserve"> </w:t>
      </w:r>
      <w:r>
        <w:t xml:space="preserve">(15 Eylül 2026 Test #93; ⚠️ Mekanik aort kapağı için kritik hedef olan 2.0–3.0</w:t>
      </w:r>
      <w:r>
        <w:t xml:space="preserve"> </w:t>
      </w:r>
      <w:r>
        <w:t xml:space="preserve">aralığının altına inmiştir; tromboemboli riski nedeniyle Warfarin doz artışı gerektirir) (Vahanian et al., 2022).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Terapötik Aralıkta Kalma Süresi (Rosendaal TTR):</w:t>
      </w:r>
      <w:r>
        <w:t xml:space="preserve"> </w:t>
      </w:r>
      <w:r>
        <w:rPr>
          <w:b/>
          <w:bCs/>
        </w:rPr>
        <w:t xml:space="preserve">%54.6</w:t>
      </w:r>
      <w:r>
        <w:t xml:space="preserve"> </w:t>
      </w:r>
      <w:r>
        <w:t xml:space="preserve">(40 ölçümlük boylamsal seride labil antikoagülasyon</w:t>
      </w:r>
      <w:r>
        <w:t xml:space="preserve"> </w:t>
      </w:r>
      <w:r>
        <w:t xml:space="preserve">göstergesi; uluslararası hedef</w:t>
      </w:r>
      <w:r>
        <w:t xml:space="preserve"> </w:t>
      </w:r>
      <m:oMath>
        <m:r>
          <m:rPr>
            <m:sty m:val="p"/>
          </m:rPr>
          <m:t>&gt;</m:t>
        </m:r>
        <m:r>
          <m:rPr>
            <m:sty m:val="p"/>
          </m:rPr>
          <m:t>%</m:t>
        </m:r>
        <m:r>
          <m:t>70</m:t>
        </m:r>
      </m:oMath>
      <w:r>
        <w:t xml:space="preserve">) (Rosendaal et al., 1993).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Hemoglobin / Hematokrit:</w:t>
      </w:r>
      <w:r>
        <w:t xml:space="preserve"> </w:t>
      </w:r>
      <w:r>
        <w:rPr>
          <w:b/>
          <w:bCs/>
        </w:rPr>
        <w:t xml:space="preserve">9.7 g/dL / %30.1</w:t>
      </w:r>
      <w:r>
        <w:t xml:space="preserve"> </w:t>
      </w:r>
      <w:r>
        <w:t xml:space="preserve">(Ağır mikrositer demir eksikliği anemisi; ameliyat sonrası dip</w:t>
      </w:r>
      <w:r>
        <w:t xml:space="preserve"> </w:t>
      </w:r>
      <w:r>
        <w:t xml:space="preserve">değer: 7.7 g/dL) (Camaschella, 2015; Goddard et al., 2021; Snook et al., 2021).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Serum Ferritini / Serum Demiri:</w:t>
      </w:r>
      <w:r>
        <w:t xml:space="preserve"> </w:t>
      </w:r>
      <w:r>
        <w:rPr>
          <w:b/>
          <w:bCs/>
        </w:rPr>
        <w:t xml:space="preserve">19.0 µg/L / 15.0 µg/dL</w:t>
      </w:r>
      <w:r>
        <w:t xml:space="preserve"> </w:t>
      </w:r>
      <w:r>
        <w:t xml:space="preserve">(Tükenmiş demir depoları; UIBC: 326.8 µg/dL) (Snook</w:t>
      </w:r>
      <w:r>
        <w:t xml:space="preserve"> </w:t>
      </w:r>
      <w:r>
        <w:t xml:space="preserve">et al., 2021).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C-Reaktif Protein (CRP):</w:t>
      </w:r>
      <w:r>
        <w:t xml:space="preserve"> </w:t>
      </w:r>
      <w:r>
        <w:rPr>
          <w:b/>
          <w:bCs/>
        </w:rPr>
        <w:t xml:space="preserve">5.7 mg/L</w:t>
      </w:r>
      <w:r>
        <w:t xml:space="preserve"> </w:t>
      </w:r>
      <w:r>
        <w:t xml:space="preserve">(15 Eylül Test #93; Referans: 0.0–5.0 mg/L; Klamoks kürü sonrası normale</w:t>
      </w:r>
      <w:r>
        <w:t xml:space="preserve"> </w:t>
      </w:r>
      <w:r>
        <w:t xml:space="preserve">yakın gerileme, pik değere göre -%96.3 düşüş) (Horan et al., 2008).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Lökosit Sayısı (WBC):</w:t>
      </w:r>
      <w:r>
        <w:t xml:space="preserve"> </w:t>
      </w:r>
      <w:r>
        <w:rPr>
          <w:b/>
          <w:bCs/>
        </w:rPr>
        <w:t xml:space="preserve">9.01</w:t>
      </w:r>
      <w:r>
        <w:rPr>
          <w:b/>
          <w:bCs/>
        </w:rPr>
        <w:t xml:space="preserve"> </w:t>
      </w:r>
      <m:oMath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b/>
          <w:bCs/>
        </w:rPr>
        <w:t xml:space="preserve">/L</w:t>
      </w:r>
      <w:r>
        <w:t xml:space="preserve"> </w:t>
      </w:r>
      <w:r>
        <w:t xml:space="preserve">(Referans: 4.01–9.75</w:t>
      </w:r>
      <w:r>
        <w:t xml:space="preserve"> </w:t>
      </w:r>
      <m:oMath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/L; Tamamen normal) (Horan et</w:t>
      </w:r>
      <w:r>
        <w:t xml:space="preserve"> </w:t>
      </w:r>
      <w:r>
        <w:t xml:space="preserve">al., 2008).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Trombosit (PLT):</w:t>
      </w:r>
      <w:r>
        <w:t xml:space="preserve"> </w:t>
      </w:r>
      <w:r>
        <w:rPr>
          <w:b/>
          <w:bCs/>
        </w:rPr>
        <w:t xml:space="preserve">368</w:t>
      </w:r>
      <w:r>
        <w:rPr>
          <w:b/>
          <w:bCs/>
        </w:rPr>
        <w:t xml:space="preserve"> </w:t>
      </w:r>
      <m:oMath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b/>
          <w:bCs/>
        </w:rPr>
        <w:t xml:space="preserve">/L</w:t>
      </w:r>
      <w:r>
        <w:t xml:space="preserve"> </w:t>
      </w:r>
      <w:r>
        <w:t xml:space="preserve">(Normal sınırlarda stabil).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Böbrek / Karaciğer Fonksiyonları:</w:t>
      </w:r>
      <w:r>
        <w:t xml:space="preserve"> </w:t>
      </w:r>
      <w:r>
        <w:t xml:space="preserve">Kreatinin</w:t>
      </w:r>
      <w:r>
        <w:t xml:space="preserve"> </w:t>
      </w:r>
      <w:r>
        <w:rPr>
          <w:b/>
          <w:bCs/>
        </w:rPr>
        <w:t xml:space="preserve">1.11 mg/dL</w:t>
      </w:r>
      <w:r>
        <w:t xml:space="preserve">, eGFR</w:t>
      </w:r>
      <w:r>
        <w:t xml:space="preserve"> </w:t>
      </w:r>
      <w:r>
        <w:rPr>
          <w:b/>
          <w:bCs/>
        </w:rPr>
        <w:t xml:space="preserve">70.89 mL/dk/1.73 m²</w:t>
      </w:r>
      <w:r>
        <w:t xml:space="preserve"> </w:t>
      </w:r>
      <w:r>
        <w:t xml:space="preserve">(CKD-EPI 2021), BUN</w:t>
      </w:r>
      <w:r>
        <w:t xml:space="preserve"> </w:t>
      </w:r>
      <w:r>
        <w:rPr>
          <w:b/>
          <w:bCs/>
        </w:rPr>
        <w:t xml:space="preserve">14.5 mg/dL</w:t>
      </w:r>
      <w:r>
        <w:t xml:space="preserve">, ALT</w:t>
      </w:r>
      <w:r>
        <w:t xml:space="preserve"> </w:t>
      </w:r>
      <w:r>
        <w:rPr>
          <w:b/>
          <w:bCs/>
        </w:rPr>
        <w:t xml:space="preserve">14 U/L</w:t>
      </w:r>
      <w:r>
        <w:t xml:space="preserve">, AST</w:t>
      </w:r>
      <w:r>
        <w:t xml:space="preserve"> </w:t>
      </w:r>
      <w:r>
        <w:rPr>
          <w:b/>
          <w:bCs/>
        </w:rPr>
        <w:t xml:space="preserve">14 U/L</w:t>
      </w:r>
      <w:r>
        <w:t xml:space="preserve"> </w:t>
      </w:r>
      <w:r>
        <w:t xml:space="preserve">(Renal ve hepatik klirens tam korunmuş) (Inker et al., 2021; KDIGO</w:t>
      </w:r>
      <w:r>
        <w:t xml:space="preserve"> </w:t>
      </w:r>
      <w:r>
        <w:t xml:space="preserve">CKD Work Group, 2013).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Vücut Ağırlığı &amp; Sıvı Dengesi:</w:t>
      </w:r>
      <w:r>
        <w:t xml:space="preserve"> </w:t>
      </w:r>
      <w:r>
        <w:rPr>
          <w:b/>
          <w:bCs/>
        </w:rPr>
        <w:t xml:space="preserve">78.9 kg</w:t>
      </w:r>
      <w:r>
        <w:t xml:space="preserve"> </w:t>
      </w:r>
      <w:r>
        <w:t xml:space="preserve">(16 Eylül 2026 tartımı; stabil, periferik/pulmoner ödem bulgusu</w:t>
      </w:r>
      <w:r>
        <w:t xml:space="preserve"> </w:t>
      </w:r>
      <w:r>
        <w:t xml:space="preserve">yok) (McDonagh et al., 2021).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X83d292c903cb571a72002024dd06fd9dd99988f"/>
    <w:p>
      <w:pPr>
        <w:pStyle w:val="Heading2"/>
      </w:pPr>
      <w:r>
        <w:t xml:space="preserve">2. PATOFİZYOLOJİK VE ÇOK DİSİPLİNLİ DEĞERLENDİRME</w:t>
      </w:r>
    </w:p>
    <w:bookmarkStart w:id="11" w:name="X4eaa04b9e5b7f5539cc4267900603e4fadbd93c"/>
    <w:p>
      <w:pPr>
        <w:pStyle w:val="Heading3"/>
      </w:pPr>
      <w:r>
        <w:t xml:space="preserve">2.1. Hemodinamik Stres ve Kronik Rezidüel Tip B Diseksiyon Dinamiği</w:t>
      </w:r>
    </w:p>
    <w:p>
      <w:pPr>
        <w:pStyle w:val="FirstParagraph"/>
      </w:pPr>
      <w:r>
        <w:t xml:space="preserve">Hasta, cerrahi lojunda intakt 32 mm Dacron vasküler greft taşımakla birlikte; aortik arkustan bilateral iliak</w:t>
      </w:r>
      <w:r>
        <w:t xml:space="preserve"> </w:t>
      </w:r>
      <w:r>
        <w:t xml:space="preserve">bifurkasyona dek uzanan patent bir rezidüel Stanford Tip B diseksiyon flebine sahiptir (Czerny et al., 2024; Fleischmann</w:t>
      </w:r>
      <w:r>
        <w:t xml:space="preserve"> </w:t>
      </w:r>
      <w:r>
        <w:t xml:space="preserve">et al., 2022). Aort duvarındaki lümen içi pulsatif gerilim ve kesme gerilimi (</w:t>
      </w:r>
      <m:oMath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), sol ventrikül ejeksiyon gücü ve</w:t>
      </w:r>
      <w:r>
        <w:t xml:space="preserve"> </w:t>
      </w:r>
      <w:r>
        <w:t xml:space="preserve">sistolik kan basıncı ile doğrudan orantılıdır (Evangelista et al., 2024).</w:t>
      </w:r>
    </w:p>
    <w:p>
      <w:pPr>
        <w:pStyle w:val="BodyText"/>
      </w:pPr>
      <w:r>
        <w:t xml:space="preserve">Nisan 2026 ortasında ev ortamında kaydedilen 168/103 mmHg seviyesindeki hipertansif sıçramalar, diseke yalancı lümenin</w:t>
      </w:r>
      <w:r>
        <w:t xml:space="preserve"> </w:t>
      </w:r>
      <w:r>
        <w:t xml:space="preserve">anevrizmatik genişlemesi ve rüptür riski açısından kritik bir alarm tablosu oluşturmuştur (Melby et al., 2013).</w:t>
      </w:r>
      <w:r>
        <w:t xml:space="preserve"> </w:t>
      </w:r>
      <w:r>
        <w:t xml:space="preserve">Karvedilol (Dilatrend 6.25 mg 2x1) miyokard kontraktilitesini ve kalp hızını baskılayarak</w:t>
      </w:r>
      <w:r>
        <w:t xml:space="preserve"> </w:t>
      </w:r>
      <m:oMath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’yi sınırlar; Ağustos</w:t>
      </w:r>
      <w:r>
        <w:t xml:space="preserve"> </w:t>
      </w:r>
      <w:r>
        <w:t xml:space="preserve">ayında tedaviye eklenen perindopril (Coversyl 5 mg 1x1) ise sistemik vasküler direnci (SVR) kırarak afterload’u düşürmüş</w:t>
      </w:r>
      <w:r>
        <w:t xml:space="preserve"> </w:t>
      </w:r>
      <w:r>
        <w:t xml:space="preserve">ve kan basıncını son 7 günde 113/75 mmHg (15 Eylül: 115/77 mmHg) düzeyine stabilize etmiştir (Isselbacher et al., 2022;</w:t>
      </w:r>
      <w:r>
        <w:t xml:space="preserve"> </w:t>
      </w:r>
      <w:r>
        <w:t xml:space="preserve">Mancia et al., 2023; McEvoy et al., 2024).</w:t>
      </w:r>
    </w:p>
    <w:p>
      <w:pPr>
        <w:pStyle w:val="BodyText"/>
      </w:pPr>
      <w:r>
        <w:t xml:space="preserve">5 Mayıs 2026 tarihli kontrastlı kontrol Torakoabdominal BT Anjiyografisinde inen aorta çapı 39 mm, abdominal aorta çapı</w:t>
      </w:r>
      <w:r>
        <w:t xml:space="preserve"> </w:t>
      </w:r>
      <w:r>
        <w:t xml:space="preserve">38 mm ölçülmüştür. Bu taramanın üzerinden 4.4 ay geçmiş olup, kılavuzların önerdiği 6. ay kontrol BT Anjiyografi zamanı</w:t>
      </w:r>
      <w:r>
        <w:t xml:space="preserve"> </w:t>
      </w:r>
      <w:r>
        <w:t xml:space="preserve">yaklaşmıştır (Czerny et al., 2024; Fleischmann et al., 2022).</w:t>
      </w:r>
    </w:p>
    <w:bookmarkEnd w:id="11"/>
    <w:bookmarkStart w:id="12" w:name="X4d1858a7dfcb283689301c64d270739b97e08c3"/>
    <w:p>
      <w:pPr>
        <w:pStyle w:val="Heading3"/>
      </w:pPr>
      <w:r>
        <w:t xml:space="preserve">2.2. Tromboembolizm, Kanama ve İlaç Etkileşim Kinetiği</w:t>
      </w:r>
    </w:p>
    <w:p>
      <w:pPr>
        <w:pStyle w:val="FirstParagraph"/>
      </w:pPr>
      <w:r>
        <w:t xml:space="preserve">25 mm çift yapraklı Carbomedics mekanik aort kapağı replase edilmiş olan hastada ömür boyu Vitamin K Antagonisti</w:t>
      </w:r>
      <w:r>
        <w:t xml:space="preserve"> </w:t>
      </w:r>
      <w:r>
        <w:t xml:space="preserve">(Warfarin) kullanımı hayati zorunluluktur (Otto et al., 2021; Vahanian et al., 2022). Hedef terapötik koridor INR</w:t>
      </w:r>
      <w:r>
        <w:t xml:space="preserve"> </w:t>
      </w:r>
      <w:r>
        <w:t xml:space="preserve">2.0–3.0 arasındadır (median 2.5).</w:t>
      </w:r>
    </w:p>
    <w:p>
      <w:pPr>
        <w:pStyle w:val="BodyText"/>
      </w:pPr>
      <w:r>
        <w:t xml:space="preserve">Hastanın geçmişinde Mart ayında 8.46’ya ulaşan supraterapötik zirve ve Temmuz ayında 1.17’ye inen subterapötik dip</w:t>
      </w:r>
      <w:r>
        <w:t xml:space="preserve"> </w:t>
      </w:r>
      <w:r>
        <w:t xml:space="preserve">değerler mevcuttur; 40 ölçümlük boylamsal seride Rosendaal TTR oranı</w:t>
      </w:r>
      <w:r>
        <w:t xml:space="preserve"> </w:t>
      </w:r>
      <w:r>
        <w:rPr>
          <w:b/>
          <w:bCs/>
        </w:rPr>
        <w:t xml:space="preserve">%54.6</w:t>
      </w:r>
      <w:r>
        <w:t xml:space="preserve"> </w:t>
      </w:r>
      <w:r>
        <w:t xml:space="preserve">olarak hesaplanmıştır (Connolly et al.,</w:t>
      </w:r>
      <w:r>
        <w:t xml:space="preserve"> </w:t>
      </w:r>
      <w:r>
        <w:t xml:space="preserve">2008; Rosendaal et al., 1993). Koroner buton anastomozlarını korumak amacıyla rejime eklenen düşük doz Aspirin</w:t>
      </w:r>
      <w:r>
        <w:t xml:space="preserve"> </w:t>
      </w:r>
      <w:r>
        <w:t xml:space="preserve">(EcopirinPro 81 mg 1x1), mekanik kapak trombozunu önlemede sinerji sağlarken gastrointestinal mukozal erozyon ve kanama</w:t>
      </w:r>
      <w:r>
        <w:t xml:space="preserve"> </w:t>
      </w:r>
      <w:r>
        <w:t xml:space="preserve">riskini 2.4 kat artırmaktadır (Dentali et al., 2006; Whitlock et al., 2023). Bu nedenle Pantoprazol (Panto 40 mg) ile</w:t>
      </w:r>
      <w:r>
        <w:t xml:space="preserve"> </w:t>
      </w:r>
      <w:r>
        <w:t xml:space="preserve">gastrik mukoza koruması aksatılmamalıdır (Bhatt et al., 2010).</w:t>
      </w:r>
    </w:p>
    <w:p>
      <w:pPr>
        <w:pStyle w:val="BodyText"/>
      </w:pPr>
      <w:r>
        <w:t xml:space="preserve">4 Eylül’de CRP artışı nedeniyle başlanan Amoksisilin/Klavulanat (Klamoks BID 1000 mg), bağırsak florasında K vitamini</w:t>
      </w:r>
      <w:r>
        <w:t xml:space="preserve"> </w:t>
      </w:r>
      <w:r>
        <w:t xml:space="preserve">üreten bakterileri baskılayarak serbest warfarin fraksiyonunu yükseltme potansiyeli taşır (Zhang et al., 2011). 10</w:t>
      </w:r>
      <w:r>
        <w:t xml:space="preserve"> </w:t>
      </w:r>
      <w:r>
        <w:t xml:space="preserve">Eylül’de INR 2.12 iken, antibiyotik kürünün 11 Eylül 20:59’da tamamlanmasının ardından</w:t>
      </w:r>
      <w:r>
        <w:t xml:space="preserve"> </w:t>
      </w:r>
      <w:r>
        <w:rPr>
          <w:b/>
          <w:bCs/>
        </w:rPr>
        <w:t xml:space="preserve">15 Eylül saat 15:27’de yapılan</w:t>
      </w:r>
      <w:r>
        <w:rPr>
          <w:b/>
          <w:bCs/>
        </w:rPr>
        <w:t xml:space="preserve"> </w:t>
      </w:r>
      <w:r>
        <w:rPr>
          <w:b/>
          <w:bCs/>
        </w:rPr>
        <w:t xml:space="preserve">kontrolde INR 1.95’e (PT: 18.4 sn, aPTT: 44.4 sn) gerilemiştir</w:t>
      </w:r>
      <w:r>
        <w:t xml:space="preserve">. Bu düşüş mekanik kapakta trombüs ve serebral</w:t>
      </w:r>
      <w:r>
        <w:t xml:space="preserve"> </w:t>
      </w:r>
      <w:r>
        <w:t xml:space="preserve">mikroemboli riskini artırdığından, Warfmadin haftalık dozunun (şu an 20 mg/hafta) hekimce</w:t>
      </w:r>
      <w:r>
        <w:t xml:space="preserve"> </w:t>
      </w:r>
      <w:r>
        <w:rPr>
          <w:b/>
          <w:bCs/>
        </w:rPr>
        <w:t xml:space="preserve">22.5–25 mg/hafta</w:t>
      </w:r>
      <w:r>
        <w:t xml:space="preserve"> </w:t>
      </w:r>
      <w:r>
        <w:t xml:space="preserve">seviyesine yükseltilmesi ve 7–10 gün içinde kontrol INR bakılması zorunludur (Ageno et al., 2012; Vahanian et al.,</w:t>
      </w:r>
      <w:r>
        <w:t xml:space="preserve"> </w:t>
      </w:r>
      <w:r>
        <w:t xml:space="preserve">2022).</w:t>
      </w:r>
    </w:p>
    <w:bookmarkEnd w:id="12"/>
    <w:bookmarkStart w:id="13" w:name="X9a003a3ce994a0414f65d5cc8d52ef92926ce86"/>
    <w:p>
      <w:pPr>
        <w:pStyle w:val="Heading3"/>
      </w:pPr>
      <w:r>
        <w:t xml:space="preserve">2.3. Hematolojik Tablo ve Demir Metabolizması Kinetiği</w:t>
      </w:r>
    </w:p>
    <w:p>
      <w:pPr>
        <w:pStyle w:val="FirstParagraph"/>
      </w:pPr>
      <w:r>
        <w:t xml:space="preserve">Laboratuvar tablosu derinleşmiş bir mikrositik hipokrom demir eksikliği anemisini kanıtlamaktadır: Hemoglobin</w:t>
      </w:r>
      <w:r>
        <w:t xml:space="preserve"> </w:t>
      </w:r>
      <w:r>
        <w:rPr>
          <w:b/>
          <w:bCs/>
        </w:rPr>
        <w:t xml:space="preserve">9.7</w:t>
      </w:r>
      <w:r>
        <w:rPr>
          <w:b/>
          <w:bCs/>
        </w:rPr>
        <w:t xml:space="preserve"> </w:t>
      </w:r>
      <w:r>
        <w:rPr>
          <w:b/>
          <w:bCs/>
        </w:rPr>
        <w:t xml:space="preserve">g/dL</w:t>
      </w:r>
      <w:r>
        <w:t xml:space="preserve">, Hematokrit</w:t>
      </w:r>
      <w:r>
        <w:t xml:space="preserve"> </w:t>
      </w:r>
      <w:r>
        <w:rPr>
          <w:b/>
          <w:bCs/>
        </w:rPr>
        <w:t xml:space="preserve">%30.1</w:t>
      </w:r>
      <w:r>
        <w:t xml:space="preserve">, MCV</w:t>
      </w:r>
      <w:r>
        <w:t xml:space="preserve"> </w:t>
      </w:r>
      <w:r>
        <w:rPr>
          <w:b/>
          <w:bCs/>
        </w:rPr>
        <w:t xml:space="preserve">76.7 fL</w:t>
      </w:r>
      <w:r>
        <w:t xml:space="preserve"> </w:t>
      </w:r>
      <w:r>
        <w:t xml:space="preserve">(mikrositoz), MCH</w:t>
      </w:r>
      <w:r>
        <w:t xml:space="preserve"> </w:t>
      </w:r>
      <w:r>
        <w:rPr>
          <w:b/>
          <w:bCs/>
        </w:rPr>
        <w:t xml:space="preserve">24.6 pg</w:t>
      </w:r>
      <w:r>
        <w:t xml:space="preserve">, Ferritin</w:t>
      </w:r>
      <w:r>
        <w:t xml:space="preserve"> </w:t>
      </w:r>
      <w:r>
        <w:rPr>
          <w:b/>
          <w:bCs/>
        </w:rPr>
        <w:t xml:space="preserve">19.0 µg/L</w:t>
      </w:r>
      <w:r>
        <w:t xml:space="preserve">, Serum Demiri</w:t>
      </w:r>
      <w:r>
        <w:t xml:space="preserve"> </w:t>
      </w:r>
      <w:r>
        <w:rPr>
          <w:b/>
          <w:bCs/>
        </w:rPr>
        <w:t xml:space="preserve">15.0</w:t>
      </w:r>
      <w:r>
        <w:rPr>
          <w:b/>
          <w:bCs/>
        </w:rPr>
        <w:t xml:space="preserve"> </w:t>
      </w:r>
      <w:r>
        <w:rPr>
          <w:b/>
          <w:bCs/>
        </w:rPr>
        <w:t xml:space="preserve">µg/dL</w:t>
      </w:r>
      <w:r>
        <w:t xml:space="preserve">, Doymamış Demir Bağlama Kapasitesi (UIBC)</w:t>
      </w:r>
      <w:r>
        <w:t xml:space="preserve"> </w:t>
      </w:r>
      <w:r>
        <w:rPr>
          <w:b/>
          <w:bCs/>
        </w:rPr>
        <w:t xml:space="preserve">326.8 µg/dL</w:t>
      </w:r>
      <w:r>
        <w:t xml:space="preserve"> </w:t>
      </w:r>
      <w:r>
        <w:t xml:space="preserve">(Camaschella, 2015; Goddard et al., 2021; Snook et</w:t>
      </w:r>
      <w:r>
        <w:t xml:space="preserve"> </w:t>
      </w:r>
      <w:r>
        <w:t xml:space="preserve">al., 2021).</w:t>
      </w:r>
    </w:p>
    <w:p>
      <w:pPr>
        <w:pStyle w:val="BodyText"/>
      </w:pPr>
      <w:r>
        <w:t xml:space="preserve">Etiyolojide açık kalp cerrahisindeki hemodilüsyon, Temmuz revizyonundaki operatif kan kaybı (HGB dip 7.7 g/dL) ve çift</w:t>
      </w:r>
      <w:r>
        <w:t xml:space="preserve"> </w:t>
      </w:r>
      <w:r>
        <w:t xml:space="preserve">antitrombotik tedaviye bağlı olası subklinik gastrointestinal sızıntılar yer almaktadır. Anemik hipoksi kompanzatuar</w:t>
      </w:r>
      <w:r>
        <w:t xml:space="preserve"> </w:t>
      </w:r>
      <w:r>
        <w:t xml:space="preserve">taşikardi ve kardiyak debi artışını tetikleyerek rezidüel aort diseksiyon flebindeki kesme stresini (</w:t>
      </w:r>
      <m:oMath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) artırır;</w:t>
      </w:r>
      <w:r>
        <w:t xml:space="preserve"> </w:t>
      </w:r>
      <w:r>
        <w:t xml:space="preserve">bu nedenle aneminin düzeltilmesi birincil kardiyovasküler koruma adımıdır (Melby et al., 2013; Snook et al., 2021).</w:t>
      </w:r>
    </w:p>
    <w:p>
      <w:pPr>
        <w:pStyle w:val="BodyText"/>
      </w:pPr>
      <w:r>
        <w:t xml:space="preserve">11 Eylül 06:28’de başlanan oral</w:t>
      </w:r>
      <w:r>
        <w:t xml:space="preserve"> </w:t>
      </w:r>
      <w:r>
        <w:rPr>
          <w:b/>
          <w:bCs/>
        </w:rPr>
        <w:t xml:space="preserve">Ferro Sanol Duodenal 100 mg</w:t>
      </w:r>
      <w:r>
        <w:t xml:space="preserve"> </w:t>
      </w:r>
      <w:r>
        <w:t xml:space="preserve">(ferroz glisin sülfat) kapsül tedavisi onikiparmak</w:t>
      </w:r>
      <w:r>
        <w:t xml:space="preserve"> </w:t>
      </w:r>
      <w:r>
        <w:t xml:space="preserve">bağırsağında açılan mikropellet yapısıyla toleransı artırmayı hedefler. Ancak kronik Pantoprazol kullanımı mide pH’ını</w:t>
      </w:r>
      <w:r>
        <w:t xml:space="preserve"> </w:t>
      </w:r>
      <w:r>
        <w:t xml:space="preserve">yükselterek duodenal DMT-1 aracılı demir emilimini %60–80 oranında baskılar (Camaschella, 2015; Snook et al., 2021). Bu</w:t>
      </w:r>
      <w:r>
        <w:t xml:space="preserve"> </w:t>
      </w:r>
      <w:r>
        <w:t xml:space="preserve">engeli aşmak için Ferro Sanol sabah aç karnına bol suyla alınmalı; Panto 40 mg en az 1 saat sonra kullanılmalı; kahvaltı</w:t>
      </w:r>
      <w:r>
        <w:t xml:space="preserve"> </w:t>
      </w:r>
      <w:r>
        <w:t xml:space="preserve">ise Panto’dan 30 dakika sonra yapılmalıdır. Çay, kahve ve süt ürünleri en az 2 saat ötelenmelidir.</w:t>
      </w:r>
    </w:p>
    <w:p>
      <w:pPr>
        <w:pStyle w:val="BodyText"/>
      </w:pPr>
      <w:r>
        <w:t xml:space="preserve">Hastanın Mart sonundaki obstipasyon yatışı nedeniyle GİS toleransı yakından izlenmeli; 4. hafta sonunda hemoglobin</w:t>
      </w:r>
      <w:r>
        <w:t xml:space="preserve"> </w:t>
      </w:r>
      <w:r>
        <w:t xml:space="preserve">yanıtı</w:t>
      </w:r>
      <w:r>
        <w:t xml:space="preserve"> </w:t>
      </w:r>
      <m:oMath>
        <m:r>
          <m:rPr>
            <m:sty m:val="p"/>
          </m:rPr>
          <m:t>&lt;</m:t>
        </m:r>
        <m:r>
          <m:t>1.0</m:t>
        </m:r>
      </m:oMath>
      <w:r>
        <w:t xml:space="preserve"> </w:t>
      </w:r>
      <w:r>
        <w:t xml:space="preserve">g/dL kalırsa veya intolerans gelişirse tek seans</w:t>
      </w:r>
      <w:r>
        <w:t xml:space="preserve"> </w:t>
      </w:r>
      <w:r>
        <w:rPr>
          <w:b/>
          <w:bCs/>
        </w:rPr>
        <w:t xml:space="preserve">İntravenöz Ferrik Karboksimaltoz (Ferinject 1000 mg)</w:t>
      </w:r>
      <w:r>
        <w:t xml:space="preserve"> </w:t>
      </w:r>
      <w:r>
        <w:t xml:space="preserve">replasmanına geçilmelidir (Richards et al., 2021; Snook et al., 2021). Eşzamanlı 3 ardışık Gaitada Gizli Kan (GGK/FIT)</w:t>
      </w:r>
      <w:r>
        <w:t xml:space="preserve"> </w:t>
      </w:r>
      <w:r>
        <w:t xml:space="preserve">testi istenmelidir (Goddard et al., 2021).</w:t>
      </w:r>
    </w:p>
    <w:bookmarkEnd w:id="13"/>
    <w:bookmarkStart w:id="14" w:name="Xa0e3b8e2c39d119dc3557169dacdf0d18c577bf"/>
    <w:p>
      <w:pPr>
        <w:pStyle w:val="Heading3"/>
      </w:pPr>
      <w:r>
        <w:t xml:space="preserve">2.4. Sternal Cerrahi Alan İyileşmesi ve Enfeksiyon Ekartasyonu</w:t>
      </w:r>
    </w:p>
    <w:p>
      <w:pPr>
        <w:pStyle w:val="FirstParagraph"/>
      </w:pPr>
      <w:r>
        <w:t xml:space="preserve">Temmuz ayı sonundaki sternal dehissens ve derin yara enfeksiyonu debridman ve çelik rewiring ile başarıyla revize</w:t>
      </w:r>
      <w:r>
        <w:t xml:space="preserve"> </w:t>
      </w:r>
      <w:r>
        <w:t xml:space="preserve">edilmiştir (Kaul, 2017). 4–11 Eylül tarihleri arasında uygulanan Klamoks kürünün ardından 15 Eylül’de CRP’nin</w:t>
      </w:r>
      <w:r>
        <w:t xml:space="preserve"> </w:t>
      </w:r>
      <w:r>
        <w:rPr>
          <w:b/>
          <w:bCs/>
        </w:rPr>
        <w:t xml:space="preserve">5.7</w:t>
      </w:r>
      <w:r>
        <w:rPr>
          <w:b/>
          <w:bCs/>
        </w:rPr>
        <w:t xml:space="preserve"> </w:t>
      </w:r>
      <w:r>
        <w:rPr>
          <w:b/>
          <w:bCs/>
        </w:rPr>
        <w:t xml:space="preserve">mg/L’ye (referans 0–5.0 mg/L aralığına)</w:t>
      </w:r>
      <w:r>
        <w:t xml:space="preserve"> </w:t>
      </w:r>
      <w:r>
        <w:t xml:space="preserve">gerilemesi ve lökositin 9.01</w:t>
      </w:r>
      <w:r>
        <w:t xml:space="preserve"> </w:t>
      </w:r>
      <m:oMath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/L ile normal aralıkta seyretmesi,</w:t>
      </w:r>
      <w:r>
        <w:t xml:space="preserve"> </w:t>
      </w:r>
      <w:r>
        <w:t xml:space="preserve">cerrahi alan enfeksiyonunun sistemik olarak kontrol altına alındığını doğrulamaktadır (Horan et al., 2008).</w:t>
      </w:r>
    </w:p>
    <w:p>
      <w:pPr>
        <w:pStyle w:val="BodyText"/>
      </w:pPr>
      <w:r>
        <w:t xml:space="preserve">Buna rağmen mekanik protez kapak taşıyıcılarında persistan ateş, halsizlik, üşüme-titreme veya yeni gelişen üfürüm</w:t>
      </w:r>
      <w:r>
        <w:t xml:space="preserve"> </w:t>
      </w:r>
      <w:r>
        <w:t xml:space="preserve">bulgularında Protez Kapak Endokarditi (PKE) ekarte edilmeli; şüphe halinde 3 set kan kültürü ve Transözofageal</w:t>
      </w:r>
      <w:r>
        <w:t xml:space="preserve"> </w:t>
      </w:r>
      <w:r>
        <w:t xml:space="preserve">Ekokardiyografi (TEE) derhal planlanmalıdır (Delgado et al., 2023; Habib et al., 2023).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89a02601a9cbcccc2b2526abc30ecea373a6b98"/>
    <w:p>
      <w:pPr>
        <w:pStyle w:val="Heading2"/>
      </w:pPr>
      <w:r>
        <w:t xml:space="preserve">3. TÜMLEŞİK LABORATUVAR DEĞİŞİM MASTER TABLOSU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9"/>
        <w:gridCol w:w="1093"/>
        <w:gridCol w:w="754"/>
        <w:gridCol w:w="942"/>
        <w:gridCol w:w="754"/>
        <w:gridCol w:w="792"/>
        <w:gridCol w:w="942"/>
        <w:gridCol w:w="14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Biyobelirteç / Kod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Referans Aralığı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İlk Değer (19 Şub)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Zirve / Dip Noktası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 Değer (15 Eyl)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Yüzdesel Değişim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Kılavuz Dayanağı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Hemoglobin (HGB)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13.4 – 17.6 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 (Dip - 27 Tem)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-%30.7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BSG 2021; Snook et al., 2021; WHO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Hematokrit (HCT)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%40.5 – 53.6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 (Dip - 22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-%27.3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Goddard et al., 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Eritrosit Hacmi (MCV)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 – 98.3 fL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76.4 (Dip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Camaschella, 2015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Eritrosit Hb (MCH)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 – 33.2 pg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24.5 (Dip - 02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-%20.1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Camaschella, 2015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MCHC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31.3 – 34.8 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30.1 (Dip - 05 May)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32.2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Camaschella, 2015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RDW-CV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%11.7 – 15.3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20.2 (Pik - 05 May)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+%30.9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YÜKSEK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Camaschella, 2015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RDW-SD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38.4 – 47.6 fL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61.2 (Pik - 05 May)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YÜKSEK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Camaschella, 2015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Serum Ferritini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30.0 – 400.0 µg/L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 (Dip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Tükendi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 HF 2021; Snook et al., 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Serum Demiri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59.0 – 158.0 µg/dL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 (Dip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Kritik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Snook et al., 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UIBC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110.0 – 370.0 µg/dL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326.8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326.8 (08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326.8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Stabil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Snook et al., 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C-Reaktif Protein (CRP)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 – 5.0 mg/L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154.0 (Pik - 21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-%96.3 (Pik’e göre)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 ARALIK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Horan et al., 2008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Lökosit Sayısı (WBC)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 – 9.75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</m:oMath>
            <w:r>
              <w:t xml:space="preserve">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27.10 (Pik - 21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-%15.2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Horan et al., 2008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Lenfosit Sayısı (LYM#)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– 3.43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</m:oMath>
            <w:r>
              <w:t xml:space="preserve">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 (Pik - 20 Ağu)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+%131.0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YÜKSEK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Horan et al., 2008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Nötrofil / Lenfosit (NLR)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 – 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 (Dip - 03 Ağu)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-%21.1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Horan et al., 2008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Koagülasyon (INR)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 – 3.0 (Hedef)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8.46 (Pik - 16 Mar)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-%7.9 (Bazale göre)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HEDEF ALTI (15 Eyl)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ESC/EACTS 2021; Vahanian et al.,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Protrombin Zamanı (PT)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 – 12.0 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64.0 (Pik - 16 Mar)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18.4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+%40.5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UZAMIŞ (15 Eyl)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VKA İdamesi; Vahanian et al.,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23.9 – 33.2 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85.5 (Pik - 16 Mar)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+%59.1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UZAMIŞ (15 Eyl)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VKA İdamesi; Vahanian et al.,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Trombosit (PLT)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 – 387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</m:oMath>
            <w:r>
              <w:t xml:space="preserve">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88.0 (Dip - 22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368.0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+%125.8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Vahanian et al.,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Serum Kreatinin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– 1.2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 (Pik - 20 Mar)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KDIGO 2012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eGFR (CKD-EPI)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t xml:space="preserve"> </w:t>
            </w:r>
            <w:r>
              <w:t xml:space="preserve">mL/dk/1.73 m²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94.00 (Pik - 23 Tem)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70.89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Inker et al., 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Üre Azotu (BUN)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 – 20.0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29.0 (Pik - 25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KDIGO 2012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Potasyum (K)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 – 5.5 mmol/L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5.05 (Pik - 15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+%38.7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KDIGO 2012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Sodyum (Na)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 – 145 mmol/L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149.0 (Pik - 21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138.0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KDIGO 2012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Klor (Cl)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– 110 mmol/L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104.0 (Pik - 15 Tem)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KDIGO 2012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Kalsiyum (Ca)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 – 10.2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9.44 (Pik - 15 Haz)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KDIGO 2012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Magnezyum (Mg)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1.58 – 2.55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(Pik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KDIGO 2012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Açlık Glukozu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 – 115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146.0 (Postop - 21 Şub)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+%21.0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HbA1c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%4.8 – 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 (Stabil)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Stabil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Kolesterol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– 200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210.0 (Pik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YÜKSEK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 et al., 2020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LDL Kolesterol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55</m:t>
              </m:r>
            </m:oMath>
            <w:r>
              <w:t xml:space="preserve"> </w:t>
            </w:r>
            <w:r>
              <w:t xml:space="preserve">mg/dL (Hedef)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141.0 (Pik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+%17.8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YÜKSEK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 Dislipidemi; Mach et al., 2020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HDL Kolesterol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– 75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34.0 (Dip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-%4.0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DÜŞÜK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Grundy et al., 2019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Trigliserid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 – 200 mg/dL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164.0 (Pik - 08 Eyl)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+%33.3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 et al., 2020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4cc7fe84c75deac3555663e7e0e69db12100b82"/>
    <w:p>
      <w:pPr>
        <w:pStyle w:val="Heading2"/>
      </w:pPr>
      <w:r>
        <w:t xml:space="preserve">4. GÜNCEL FARMAKOTERAPİ VE RİSK YÖNETİM MATRİSİ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Warfmadin (Varfarin Sodyum) 5 mg Tablet:</w:t>
      </w:r>
      <w:r>
        <w:t xml:space="preserve"> </w:t>
      </w:r>
      <w:r>
        <w:t xml:space="preserve">Haftalık toplam 20 mg (Mevcut rejim). Mekanik aort kapak tromboemboli</w:t>
      </w:r>
      <w:r>
        <w:t xml:space="preserve"> </w:t>
      </w:r>
      <w:r>
        <w:t xml:space="preserve">profilaksisi.</w:t>
      </w:r>
      <w:r>
        <w:br/>
      </w:r>
      <w:r>
        <w:rPr>
          <w:b/>
          <w:bCs/>
        </w:rPr>
        <w:t xml:space="preserve">⚠️ KRİTİK EYLEM:</w:t>
      </w:r>
      <w:r>
        <w:t xml:space="preserve"> </w:t>
      </w:r>
      <w:r>
        <w:t xml:space="preserve">15 Eylül ölçümünde INR</w:t>
      </w:r>
      <w:r>
        <w:t xml:space="preserve"> </w:t>
      </w:r>
      <w:r>
        <w:rPr>
          <w:b/>
          <w:bCs/>
        </w:rPr>
        <w:t xml:space="preserve">1.95</w:t>
      </w:r>
      <w:r>
        <w:t xml:space="preserve">’e gerileyerek 2.0–3.0 hedef koridorunun altına inmiştir</w:t>
      </w:r>
      <w:r>
        <w:t xml:space="preserve"> </w:t>
      </w:r>
      <w:r>
        <w:t xml:space="preserve">(Vahanian et al., 2022). Mekanik protez üzerinde trombüs riskini önlemek amacıyla haftalık kümülatif doz hekim</w:t>
      </w:r>
      <w:r>
        <w:t xml:space="preserve"> </w:t>
      </w:r>
      <w:r>
        <w:t xml:space="preserve">kontrolünde</w:t>
      </w:r>
      <w:r>
        <w:t xml:space="preserve"> </w:t>
      </w:r>
      <w:r>
        <w:rPr>
          <w:b/>
          <w:bCs/>
        </w:rPr>
        <w:t xml:space="preserve">22.5–25 mg/hafta</w:t>
      </w:r>
      <w:r>
        <w:t xml:space="preserve"> </w:t>
      </w:r>
      <w:r>
        <w:t xml:space="preserve">seviyesine titre edilmeli ve 7–10 gün sonra kontrol INR alınmalıdır.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Dilatrend (Karvedilol) 6.25 mg Tablet:</w:t>
      </w:r>
      <w:r>
        <w:t xml:space="preserve"> </w:t>
      </w:r>
      <w:r>
        <w:t xml:space="preserve">Günde 2 kez 1 tablet (12.5 mg/gün). Aortik</w:t>
      </w:r>
      <w:r>
        <w:t xml:space="preserve"> </w:t>
      </w:r>
      <m:oMath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kesme stresini</w:t>
      </w:r>
      <w:r>
        <w:t xml:space="preserve"> </w:t>
      </w:r>
      <w:r>
        <w:t xml:space="preserve">baskılama, negatif inotrop etki sağlama ve taşikardiyi önleme (Isselbacher et al., 2022; Melby et al., 2013).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Coversyl (Perindopril Arjinin) 5 mg Tablet:</w:t>
      </w:r>
      <w:r>
        <w:t xml:space="preserve"> </w:t>
      </w:r>
      <w:r>
        <w:t xml:space="preserve">Günde 1 kez sabah 1 tablet. Sistemik vasküler direnci (SVR) kırma,</w:t>
      </w:r>
      <w:r>
        <w:t xml:space="preserve"> </w:t>
      </w:r>
      <w:r>
        <w:t xml:space="preserve">afterload azaltma ve aortik gerilimi regüle etme (Tansiyon 113/75 mmHg’ye stabilize edilmiştir) (Mancia et al., 2023;</w:t>
      </w:r>
      <w:r>
        <w:t xml:space="preserve"> </w:t>
      </w:r>
      <w:r>
        <w:t xml:space="preserve">McEvoy et al., 2024).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EcopirinPro (Asetilsalisilik Asit) 81 mg Tablet:</w:t>
      </w:r>
      <w:r>
        <w:t xml:space="preserve"> </w:t>
      </w:r>
      <w:r>
        <w:t xml:space="preserve">Günde 1 kez 1 tablet. Koroner buton ve Dacron greft tromboz</w:t>
      </w:r>
      <w:r>
        <w:t xml:space="preserve"> </w:t>
      </w:r>
      <w:r>
        <w:t xml:space="preserve">profilaksisi. Warfarin ile kombine kullanımda majör kanama riski takiplidir (Vahanian et al., 2022; Whitlock et al.,</w:t>
      </w:r>
      <w:r>
        <w:t xml:space="preserve"> </w:t>
      </w:r>
      <w:r>
        <w:t xml:space="preserve">2023).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Panto (Pantoprazol) 40 mg Enterik Tablet:</w:t>
      </w:r>
      <w:r>
        <w:t xml:space="preserve"> </w:t>
      </w:r>
      <w:r>
        <w:t xml:space="preserve">Günde 1 kez sabah aç karnına (Ferro Sanol’den 1 saat sonra). Çift</w:t>
      </w:r>
      <w:r>
        <w:t xml:space="preserve"> </w:t>
      </w:r>
      <w:r>
        <w:t xml:space="preserve">antitrombotik kaynaklı gastroduodenal mukoza hasarını ve GİS kanama profilaksisini sağlama (Bhatt et al., 2010).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Ferro Sanol Duodenal (Demir Preparatı - Fe²⁺) 100 mg Kapsül:</w:t>
      </w:r>
      <w:r>
        <w:t xml:space="preserve"> </w:t>
      </w:r>
      <w:r>
        <w:t xml:space="preserve">Günde 1 kez sabah aç karnına (Panto’dan 1 saat önce</w:t>
      </w:r>
      <w:r>
        <w:t xml:space="preserve"> </w:t>
      </w:r>
      <w:r>
        <w:t xml:space="preserve">bol suyla). Ağır mikrositik demir eksikliği anemisi replasmanı (11 Eylül 06:28’de başlandı) (Camaschella, 2015; Snook</w:t>
      </w:r>
      <w:r>
        <w:t xml:space="preserve"> </w:t>
      </w:r>
      <w:r>
        <w:t xml:space="preserve">et al., 2021).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Klamoks BID (Amoksisilin + Klavulanik Asit) 1000 mg Tablet:</w:t>
      </w:r>
      <w:r>
        <w:t xml:space="preserve"> </w:t>
      </w:r>
      <w:r>
        <w:t xml:space="preserve">11 Eylül 20:59’da 8 günlük kür başarıyla tamamlandı</w:t>
      </w:r>
      <w:r>
        <w:t xml:space="preserve"> </w:t>
      </w:r>
      <w:r>
        <w:t xml:space="preserve">(Sonlandırıldı/Kesildi). CRP 5.7 mg/L’ye gerileyerek kür hedefine ulaşıldı (Horan et al., 2008; Wilson et al., 2016).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Kapril (Kaptopril) 25 mg Tablet (Gerektiğinde - PRN):</w:t>
      </w:r>
      <w:r>
        <w:t xml:space="preserve"> </w:t>
      </w:r>
      <w:r>
        <w:t xml:space="preserve">Sistolik TA</w:t>
      </w:r>
      <w:r>
        <w:t xml:space="preserve"> </w:t>
      </w:r>
      <m:oMath>
        <m:r>
          <m:rPr>
            <m:sty m:val="p"/>
          </m:rPr>
          <m:t>≥</m:t>
        </m:r>
        <m:r>
          <m:t>150</m:t>
        </m:r>
      </m:oMath>
      <w:r>
        <w:t xml:space="preserve"> </w:t>
      </w:r>
      <w:r>
        <w:t xml:space="preserve">mmHg acil dilaltı kurtarma ilacı</w:t>
      </w:r>
      <w:r>
        <w:t xml:space="preserve"> </w:t>
      </w:r>
      <w:r>
        <w:t xml:space="preserve">(Mancia et al., 2023).</w:t>
      </w:r>
    </w:p>
    <w:p>
      <w:r>
        <w:pict>
          <v:rect style="width:0;height:1.5pt" o:hralign="center" o:hrstd="t" o:hr="t"/>
        </w:pict>
      </w:r>
    </w:p>
    <w:bookmarkEnd w:id="17"/>
    <w:bookmarkStart w:id="18" w:name="X8a69706402d5cac25c9d101257d2757ea156d36"/>
    <w:p>
      <w:pPr>
        <w:pStyle w:val="Heading2"/>
      </w:pPr>
      <w:r>
        <w:t xml:space="preserve">5. BRANŞ BAZLI ÇOK DİSİPLİNLİ STRATEJİK EYLEM PLANI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Kardiyoloji &amp; Hemostaz (Öncelikli Eylem):</w:t>
      </w:r>
      <w:r>
        <w:t xml:space="preserve"> </w:t>
      </w:r>
      <w:r>
        <w:t xml:space="preserve">15 Eylül kontrolünde INR’nin</w:t>
      </w:r>
      <w:r>
        <w:t xml:space="preserve"> </w:t>
      </w:r>
      <w:r>
        <w:rPr>
          <w:b/>
          <w:bCs/>
        </w:rPr>
        <w:t xml:space="preserve">1.95</w:t>
      </w:r>
      <w:r>
        <w:t xml:space="preserve">’e gerilemesiyle 25 mm Carbomedics</w:t>
      </w:r>
      <w:r>
        <w:t xml:space="preserve"> </w:t>
      </w:r>
      <w:r>
        <w:t xml:space="preserve">mekanik aort kapağında tromboz riski belirmiştir (Vahanian et al., 2022). Warfmadin haftalık dozu 20 mg’dan 22.5–25</w:t>
      </w:r>
      <w:r>
        <w:t xml:space="preserve"> </w:t>
      </w:r>
      <w:r>
        <w:t xml:space="preserve">mg’a titre edilmeli, K vitamini içeren yeşil yapraklı sebze tüketimi stabilize edilmeli ve 22–25 Eylül tarihlerinde</w:t>
      </w:r>
      <w:r>
        <w:t xml:space="preserve"> </w:t>
      </w:r>
      <w:r>
        <w:t xml:space="preserve">kontrol koagülasyon testi yapılmalıdır (Ageno et al., 2012).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Hematoloji &amp; Gastroenteroloji:</w:t>
      </w:r>
      <w:r>
        <w:t xml:space="preserve"> </w:t>
      </w:r>
      <w:r>
        <w:t xml:space="preserve">Ağır demir eksikliği anemisi (HGB 9.7 g/dL, Ferritin 19.0 µg/L, MCV 76.7 fL)</w:t>
      </w:r>
      <w:r>
        <w:t xml:space="preserve"> </w:t>
      </w:r>
      <w:r>
        <w:t xml:space="preserve">tedavisi 11 Eylül’de başlanan Ferro Sanol Duodenal 100 mg ile sürdürülmektedir. İlacın Panto’dan 1 saat önce alınma</w:t>
      </w:r>
      <w:r>
        <w:t xml:space="preserve"> </w:t>
      </w:r>
      <w:r>
        <w:t xml:space="preserve">protokolü sıkı uygulanmalıdır (Camaschella, 2015; Snook et al., 2021). Geçmişteki obstipasyon öyküsü nedeniyle GİS</w:t>
      </w:r>
      <w:r>
        <w:t xml:space="preserve"> </w:t>
      </w:r>
      <w:r>
        <w:t xml:space="preserve">toleransı izlenmeli; 4. hafta sonunda Hb artışı</w:t>
      </w:r>
      <w:r>
        <w:t xml:space="preserve"> </w:t>
      </w:r>
      <m:oMath>
        <m:r>
          <m:rPr>
            <m:sty m:val="p"/>
          </m:rPr>
          <m:t>&lt;</m:t>
        </m:r>
        <m:r>
          <m:t>1.0</m:t>
        </m:r>
      </m:oMath>
      <w:r>
        <w:t xml:space="preserve"> </w:t>
      </w:r>
      <w:r>
        <w:t xml:space="preserve">g/dL kalırsa veya intolerans gelişirse tek seans</w:t>
      </w:r>
      <w:r>
        <w:t xml:space="preserve"> </w:t>
      </w:r>
      <w:r>
        <w:rPr>
          <w:b/>
          <w:bCs/>
        </w:rPr>
        <w:t xml:space="preserve">İntravenöz</w:t>
      </w:r>
      <w:r>
        <w:rPr>
          <w:b/>
          <w:bCs/>
        </w:rPr>
        <w:t xml:space="preserve"> </w:t>
      </w:r>
      <w:r>
        <w:rPr>
          <w:b/>
          <w:bCs/>
        </w:rPr>
        <w:t xml:space="preserve">Ferrik Karboksimaltoz (Ferinject 1000 mg)</w:t>
      </w:r>
      <w:r>
        <w:t xml:space="preserve"> </w:t>
      </w:r>
      <w:r>
        <w:t xml:space="preserve">infüzyonuna geçilmelidir (Richards et al., 2021; Snook et al., 2021).</w:t>
      </w:r>
      <w:r>
        <w:t xml:space="preserve"> </w:t>
      </w:r>
      <w:r>
        <w:t xml:space="preserve">Eşzamanlı 3 ardışık Gaitada Gizli Kan (GGK/FIT) testi ile gastrointestinal mikro-kanama ekartasyonu yapılmalıdır</w:t>
      </w:r>
      <w:r>
        <w:t xml:space="preserve"> </w:t>
      </w:r>
      <w:r>
        <w:t xml:space="preserve">(Goddard et al., 2021).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Kardiyovasküler Cerrahi &amp; Radyoloji:</w:t>
      </w:r>
      <w:r>
        <w:t xml:space="preserve"> </w:t>
      </w:r>
      <w:r>
        <w:t xml:space="preserve">5 Mayıs 2026 tarihli kontrastlı BT’den bu yana 4.4 ay geçmiştir. Bentall</w:t>
      </w:r>
      <w:r>
        <w:t xml:space="preserve"> </w:t>
      </w:r>
      <w:r>
        <w:t xml:space="preserve">ameliyatı sonrası 6. ayını (208. gün) tamamlayan hastada arkustan iliak bifurkasyona dek uzanan patent Tip B</w:t>
      </w:r>
      <w:r>
        <w:t xml:space="preserve"> </w:t>
      </w:r>
      <w:r>
        <w:t xml:space="preserve">diseksiyon flebi (inen aorta 39 mm, suprarenal aorta 38 mm) ve greft loju stabilitesini denetlemek üzere</w:t>
      </w:r>
      <w:r>
        <w:t xml:space="preserve"> </w:t>
      </w:r>
      <w:r>
        <w:rPr>
          <w:b/>
          <w:bCs/>
        </w:rPr>
        <w:t xml:space="preserve">Kontrastlı</w:t>
      </w:r>
      <w:r>
        <w:rPr>
          <w:b/>
          <w:bCs/>
        </w:rPr>
        <w:t xml:space="preserve"> </w:t>
      </w:r>
      <w:r>
        <w:rPr>
          <w:b/>
          <w:bCs/>
        </w:rPr>
        <w:t xml:space="preserve">Torakoabdominal BT Anjiyografi</w:t>
      </w:r>
      <w:r>
        <w:t xml:space="preserve"> </w:t>
      </w:r>
      <w:r>
        <w:t xml:space="preserve">planlanmalıdır (Czerny et al., 2024; Fleischmann et al., 2022).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Enfeksiyon Hastalıkları &amp; KVC:</w:t>
      </w:r>
      <w:r>
        <w:t xml:space="preserve"> </w:t>
      </w:r>
      <w:r>
        <w:t xml:space="preserve">Klamoks kürü sonrasında CRP 5.7 mg/L’ye gerilemiş, lökosit 9.01</w:t>
      </w:r>
      <w:r>
        <w:t xml:space="preserve"> </w:t>
      </w:r>
      <m:oMath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/L</w:t>
      </w:r>
      <w:r>
        <w:t xml:space="preserve"> </w:t>
      </w:r>
      <w:r>
        <w:t xml:space="preserve">ile normal aralıkta kalmıştır (Horan et al., 2008). Yara yeri iyileşmesi stabil seyretmektedir. Persistan ateş,</w:t>
      </w:r>
      <w:r>
        <w:t xml:space="preserve"> </w:t>
      </w:r>
      <w:r>
        <w:t xml:space="preserve">titreme veya üfürüm saptanması halinde Protez Kapak Endokarditi (PKE) şüphesiyle 3 set kan kültürü ve Transözofageal</w:t>
      </w:r>
      <w:r>
        <w:t xml:space="preserve"> </w:t>
      </w:r>
      <w:r>
        <w:t xml:space="preserve">Ekokardiyografi (TEE) tetkiki yapılmalıdır (Delgado et al., 2023).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Kardiyoloji &amp; Önleyici Kardiyoloji:</w:t>
      </w:r>
      <w:r>
        <w:t xml:space="preserve"> </w:t>
      </w:r>
      <w:r>
        <w:t xml:space="preserve">Total Kolesterol 210 mg/dL ve LDL-K 141 mg/dL seviyesindedir. Aort</w:t>
      </w:r>
      <w:r>
        <w:t xml:space="preserve"> </w:t>
      </w:r>
      <w:r>
        <w:t xml:space="preserve">diseksiyonu ve kapak replasmanı geçirmiş çok yüksek riskli hastada 2019 ESC/EAS kılavuz hedefi LDL</w:t>
      </w:r>
      <w:r>
        <w:t xml:space="preserve"> </w:t>
      </w:r>
      <m:oMath>
        <m:r>
          <m:rPr>
            <m:sty m:val="p"/>
          </m:rPr>
          <m:t>&lt;</m:t>
        </m:r>
        <m:r>
          <m:t>55</m:t>
        </m:r>
      </m:oMath>
      <w:r>
        <w:t xml:space="preserve"> </w:t>
      </w:r>
      <w:r>
        <w:t xml:space="preserve">mg/dL</w:t>
      </w:r>
      <w:r>
        <w:t xml:space="preserve"> </w:t>
      </w:r>
      <w:r>
        <w:t xml:space="preserve">olduğundan</w:t>
      </w:r>
      <w:r>
        <w:t xml:space="preserve"> </w:t>
      </w:r>
      <w:r>
        <w:rPr>
          <w:b/>
          <w:bCs/>
        </w:rPr>
        <w:t xml:space="preserve">Atorvastatin 20 mg/gün</w:t>
      </w:r>
      <w:r>
        <w:t xml:space="preserve"> </w:t>
      </w:r>
      <w:r>
        <w:t xml:space="preserve">başlanması değerlendirilmelidir (Mach et al., 2020).</w:t>
      </w:r>
    </w:p>
    <w:p>
      <w:r>
        <w:pict>
          <v:rect style="width:0;height:1.5pt" o:hralign="center" o:hrstd="t" o:hr="t"/>
        </w:pict>
      </w:r>
    </w:p>
    <w:bookmarkEnd w:id="18"/>
    <w:bookmarkStart w:id="19" w:name="X396ffa869b3f289226706830bc0a1a683faf619"/>
    <w:p>
      <w:pPr>
        <w:pStyle w:val="Heading2"/>
      </w:pPr>
      <w:r>
        <w:t xml:space="preserve">6. AKADEMİK VE KLİNİK KAYNAKÇA (APA 7TH EDITION)</w:t>
      </w:r>
    </w:p>
    <w:p>
      <w:pPr>
        <w:pStyle w:val="Compact"/>
        <w:numPr>
          <w:ilvl w:val="0"/>
          <w:numId w:val="1005"/>
        </w:numPr>
      </w:pPr>
      <w:r>
        <w:t xml:space="preserve">Ageno, W., Gallus, A. S., Wittkowsky, A., Crowther, M., Hylek, E. M., &amp; Palareti, G. (2012). Oral anticoagulant</w:t>
      </w:r>
      <w:r>
        <w:t xml:space="preserve"> </w:t>
      </w:r>
      <w:r>
        <w:t xml:space="preserve">therapy: Antithrombotic Therapy and Prevention of Thrombosis, 9th ed: American College of Chest Physicians</w:t>
      </w:r>
      <w:r>
        <w:t xml:space="preserve"> </w:t>
      </w:r>
      <w:r>
        <w:t xml:space="preserve">Evidence-Based Clinical Practice Guidelines.</w:t>
      </w:r>
      <w:r>
        <w:t xml:space="preserve"> </w:t>
      </w:r>
      <w:r>
        <w:rPr>
          <w:i/>
          <w:iCs/>
        </w:rPr>
        <w:t xml:space="preserve">Chest</w:t>
      </w:r>
      <w:r>
        <w:t xml:space="preserve">,</w:t>
      </w:r>
      <w:r>
        <w:t xml:space="preserve"> </w:t>
      </w:r>
      <w:r>
        <w:rPr>
          <w:i/>
          <w:iCs/>
        </w:rPr>
        <w:t xml:space="preserve">141</w:t>
      </w:r>
      <w:r>
        <w:t xml:space="preserve">(2 Suppl),</w:t>
      </w:r>
      <w:r>
        <w:t xml:space="preserve"> </w:t>
      </w:r>
      <w:r>
        <w:t xml:space="preserve">e44S–e88S. https://doi.org/10.1378/chest.11-2292</w:t>
      </w:r>
    </w:p>
    <w:p>
      <w:pPr>
        <w:pStyle w:val="Compact"/>
        <w:numPr>
          <w:ilvl w:val="0"/>
          <w:numId w:val="1005"/>
        </w:numPr>
      </w:pPr>
      <w:r>
        <w:t xml:space="preserve">Bentall, H., &amp; De Bono, A. (1968). A technique for complete replacement of the ascending aorta.</w:t>
      </w:r>
      <w:r>
        <w:t xml:space="preserve"> </w:t>
      </w:r>
      <w:r>
        <w:rPr>
          <w:i/>
          <w:iCs/>
        </w:rPr>
        <w:t xml:space="preserve">Thorax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(4),</w:t>
      </w:r>
      <w:r>
        <w:t xml:space="preserve"> </w:t>
      </w:r>
      <w:r>
        <w:t xml:space="preserve">338–339. https://doi.org/10.1136/thx.23.4.338</w:t>
      </w:r>
    </w:p>
    <w:p>
      <w:pPr>
        <w:pStyle w:val="Compact"/>
        <w:numPr>
          <w:ilvl w:val="0"/>
          <w:numId w:val="1005"/>
        </w:numPr>
      </w:pPr>
      <w:r>
        <w:t xml:space="preserve">Bhatt, D. L., Cryer, B. L., Contant, C. F., Cohen, M., Lanas, A., Schnitzer, T. J., Lapuerta, P., Goldsmith, M. A.,</w:t>
      </w:r>
      <w:r>
        <w:t xml:space="preserve"> </w:t>
      </w:r>
      <w:r>
        <w:t xml:space="preserve">Laine, L., Scirica, B. M., Cannon, C. P., &amp; COGENT Investigators. (2010). Clopidogrel with or without omeprazole in</w:t>
      </w:r>
      <w:r>
        <w:t xml:space="preserve"> </w:t>
      </w:r>
      <w:r>
        <w:t xml:space="preserve">coronary artery disease.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,</w:t>
      </w:r>
      <w:r>
        <w:t xml:space="preserve"> </w:t>
      </w:r>
      <w:r>
        <w:rPr>
          <w:i/>
          <w:iCs/>
        </w:rPr>
        <w:t xml:space="preserve">363</w:t>
      </w:r>
      <w:r>
        <w:t xml:space="preserve">(20),</w:t>
      </w:r>
      <w:r>
        <w:t xml:space="preserve"> </w:t>
      </w:r>
      <w:r>
        <w:t xml:space="preserve">1909–1917. https://doi.org/10.1056/NEJMoa1007964</w:t>
      </w:r>
    </w:p>
    <w:p>
      <w:pPr>
        <w:pStyle w:val="Compact"/>
        <w:numPr>
          <w:ilvl w:val="0"/>
          <w:numId w:val="1005"/>
        </w:numPr>
      </w:pPr>
      <w:r>
        <w:t xml:space="preserve">Camaschella, C. (2015). Iron-deficiency anemia.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,</w:t>
      </w:r>
      <w:r>
        <w:t xml:space="preserve"> </w:t>
      </w:r>
      <w:r>
        <w:rPr>
          <w:i/>
          <w:iCs/>
        </w:rPr>
        <w:t xml:space="preserve">372</w:t>
      </w:r>
      <w:r>
        <w:t xml:space="preserve">(19),</w:t>
      </w:r>
      <w:r>
        <w:t xml:space="preserve"> </w:t>
      </w:r>
      <w:r>
        <w:t xml:space="preserve">1832–1843. https://doi.org/10.1056/NEJMra1401038</w:t>
      </w:r>
    </w:p>
    <w:p>
      <w:pPr>
        <w:pStyle w:val="Compact"/>
        <w:numPr>
          <w:ilvl w:val="0"/>
          <w:numId w:val="1005"/>
        </w:numPr>
      </w:pPr>
      <w:r>
        <w:t xml:space="preserve">Connolly, S. J., Pogue, J., Eikelboom, J., Flaker, G., Commerford, P., Franzosi, M. G., Wang, X., Yusuf, S., &amp; ACTIVE</w:t>
      </w:r>
      <w:r>
        <w:t xml:space="preserve"> </w:t>
      </w:r>
      <w:r>
        <w:t xml:space="preserve">W Investigators. (2008). Benefit of oral anticoagulant over antiplatelet therapy in atrial fibrillation depends on</w:t>
      </w:r>
      <w:r>
        <w:t xml:space="preserve"> </w:t>
      </w:r>
      <w:r>
        <w:t xml:space="preserve">the quality of international normalized ratio control: An ACTIVE W substudy.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</w:t>
      </w:r>
      <w:r>
        <w:t xml:space="preserve"> </w:t>
      </w:r>
      <w:r>
        <w:rPr>
          <w:i/>
          <w:iCs/>
        </w:rPr>
        <w:t xml:space="preserve">118</w:t>
      </w:r>
      <w:r>
        <w:t xml:space="preserve">(20),</w:t>
      </w:r>
      <w:r>
        <w:t xml:space="preserve"> </w:t>
      </w:r>
      <w:r>
        <w:t xml:space="preserve">2029–2037. https://doi.org/10.1161/CIRCULATIONAHA.107.750000</w:t>
      </w:r>
    </w:p>
    <w:p>
      <w:pPr>
        <w:pStyle w:val="Compact"/>
        <w:numPr>
          <w:ilvl w:val="0"/>
          <w:numId w:val="1005"/>
        </w:numPr>
      </w:pPr>
      <w:r>
        <w:t xml:space="preserve">Czerny, M., Grabenwöger, M., Berger, T., Aboyans, V., Della Corte, A., Jassar, A. S., Kallenbach, K., Misfeld, M.,</w:t>
      </w:r>
      <w:r>
        <w:t xml:space="preserve"> </w:t>
      </w:r>
      <w:r>
        <w:t xml:space="preserve">Trimarchi, S., &amp; EACTS/STS Scientific Document Group. (2024). EACTS/STS Guidelines for diagnosing and treating acute</w:t>
      </w:r>
      <w:r>
        <w:t xml:space="preserve"> </w:t>
      </w:r>
      <w:r>
        <w:t xml:space="preserve">and chronic syndromes of the aortic organ.</w:t>
      </w:r>
      <w:r>
        <w:t xml:space="preserve"> </w:t>
      </w:r>
      <w:r>
        <w:rPr>
          <w:i/>
          <w:iCs/>
        </w:rPr>
        <w:t xml:space="preserve">European Journal of Cardio-Thoracic Surgery</w:t>
      </w:r>
      <w:r>
        <w:t xml:space="preserve">,</w:t>
      </w:r>
      <w:r>
        <w:t xml:space="preserve"> </w:t>
      </w:r>
      <w:r>
        <w:rPr>
          <w:i/>
          <w:iCs/>
        </w:rPr>
        <w:t xml:space="preserve">65</w:t>
      </w:r>
      <w:r>
        <w:t xml:space="preserve">(2), Article</w:t>
      </w:r>
      <w:r>
        <w:t xml:space="preserve"> </w:t>
      </w:r>
      <w:r>
        <w:t xml:space="preserve">ezad426. https://doi.org/10.1093/ejcts/ezad426</w:t>
      </w:r>
    </w:p>
    <w:p>
      <w:pPr>
        <w:pStyle w:val="Compact"/>
        <w:numPr>
          <w:ilvl w:val="0"/>
          <w:numId w:val="1005"/>
        </w:numPr>
      </w:pPr>
      <w:r>
        <w:t xml:space="preserve">Delgado, V., Ajmone Marsan, N., de Waha, S., Bonaros, N., Brida, M., Burri, H., Caselli, S., Doenst, T.,</w:t>
      </w:r>
      <w:r>
        <w:t xml:space="preserve"> </w:t>
      </w:r>
      <w:r>
        <w:t xml:space="preserve">Durante-Mangoni, E., Erba, P. A., Frank, D., Gallardo, E., Galiè, N., Habib, G., Lancellotti, P., Lionetti, G.,</w:t>
      </w:r>
      <w:r>
        <w:t xml:space="preserve"> </w:t>
      </w:r>
      <w:r>
        <w:t xml:space="preserve">Mancone, M., Mistiaen, W., Nienaber, C. A., … ESC Scientific Document Group. (2023). 2023 ESC Guidelines for the</w:t>
      </w:r>
      <w:r>
        <w:t xml:space="preserve"> </w:t>
      </w:r>
      <w:r>
        <w:t xml:space="preserve">management of endocarditis.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(39), 3948–4042. https://doi.org/10.1093/eurheartj/ehad193</w:t>
      </w:r>
    </w:p>
    <w:p>
      <w:pPr>
        <w:pStyle w:val="Compact"/>
        <w:numPr>
          <w:ilvl w:val="0"/>
          <w:numId w:val="1005"/>
        </w:numPr>
      </w:pPr>
      <w:r>
        <w:t xml:space="preserve">Dentali, F., Douketis, J. D., Lim, W., &amp; Crowther, M. (2006). Combined aspirin-oral anticoagulant therapy in patients</w:t>
      </w:r>
      <w:r>
        <w:t xml:space="preserve"> </w:t>
      </w:r>
      <w:r>
        <w:t xml:space="preserve">with mechanical heart valves: A systematic review and meta-analysis.</w:t>
      </w:r>
      <w:r>
        <w:t xml:space="preserve"> </w:t>
      </w:r>
      <w:r>
        <w:rPr>
          <w:i/>
          <w:iCs/>
        </w:rPr>
        <w:t xml:space="preserve">Archives of Internal Medicine</w:t>
      </w:r>
      <w:r>
        <w:t xml:space="preserve">,</w:t>
      </w:r>
      <w:r>
        <w:t xml:space="preserve"> </w:t>
      </w:r>
      <w:r>
        <w:rPr>
          <w:i/>
          <w:iCs/>
        </w:rPr>
        <w:t xml:space="preserve">166</w:t>
      </w:r>
      <w:r>
        <w:t xml:space="preserve">(7),</w:t>
      </w:r>
      <w:r>
        <w:t xml:space="preserve"> </w:t>
      </w:r>
      <w:r>
        <w:t xml:space="preserve">724–731. https://doi.org/10.1001/archinte.166.7.724</w:t>
      </w:r>
    </w:p>
    <w:p>
      <w:pPr>
        <w:pStyle w:val="Compact"/>
        <w:numPr>
          <w:ilvl w:val="0"/>
          <w:numId w:val="1005"/>
        </w:numPr>
      </w:pPr>
      <w:r>
        <w:t xml:space="preserve">El Oakley, R. M., &amp; Wright, J. E. (1996). Postoperative mediastinitis: Classification and management.</w:t>
      </w:r>
      <w:r>
        <w:t xml:space="preserve"> </w:t>
      </w:r>
      <w:r>
        <w:rPr>
          <w:i/>
          <w:iCs/>
        </w:rPr>
        <w:t xml:space="preserve">The Annals of</w:t>
      </w:r>
      <w:r>
        <w:rPr>
          <w:i/>
          <w:iCs/>
        </w:rPr>
        <w:t xml:space="preserve"> </w:t>
      </w:r>
      <w:r>
        <w:rPr>
          <w:i/>
          <w:iCs/>
        </w:rPr>
        <w:t xml:space="preserve">Thoracic Surgery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(3), 1030–1036. https://doi.org/10.1016/0003-4975(95)01035-1</w:t>
      </w:r>
    </w:p>
    <w:p>
      <w:pPr>
        <w:pStyle w:val="Compact"/>
        <w:numPr>
          <w:ilvl w:val="0"/>
          <w:numId w:val="1005"/>
        </w:numPr>
      </w:pPr>
      <w:r>
        <w:t xml:space="preserve">Erbel, R., Aboyans, V., Boileau, C., Bossone, E., Bartolomeo, R. D., Eggebrecht, H., Evangelista, A., Falk, V.,</w:t>
      </w:r>
      <w:r>
        <w:t xml:space="preserve"> </w:t>
      </w:r>
      <w:r>
        <w:t xml:space="preserve">Frank, H., Gaemperli, O., Grabenwöger, M., Haverich, A., Iung, B., Manolis, A. J., Meijboom, F., Nienaber, C. A.,</w:t>
      </w:r>
      <w:r>
        <w:t xml:space="preserve"> </w:t>
      </w:r>
      <w:r>
        <w:t xml:space="preserve">Roffi, M., Rousseau, H., Sechtem, U., … ESC Committee for Practice Guidelines. (2014). 2014 ESC Guidelines on the</w:t>
      </w:r>
      <w:r>
        <w:t xml:space="preserve"> </w:t>
      </w:r>
      <w:r>
        <w:t xml:space="preserve">diagnosis and treatment of aortic diseases.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(41),</w:t>
      </w:r>
      <w:r>
        <w:t xml:space="preserve"> </w:t>
      </w:r>
      <w:r>
        <w:t xml:space="preserve">2873–2926. https://doi.org/10.1093/eurheartj/ehu281</w:t>
      </w:r>
    </w:p>
    <w:p>
      <w:pPr>
        <w:pStyle w:val="Compact"/>
        <w:numPr>
          <w:ilvl w:val="0"/>
          <w:numId w:val="1005"/>
        </w:numPr>
      </w:pPr>
      <w:r>
        <w:t xml:space="preserve">Evangelista, A., Czerny, M., Teixido-Tura, G., Boccalini, S., &amp; Mastroroberto, P. (2024). Imaging follow-up in</w:t>
      </w:r>
      <w:r>
        <w:t xml:space="preserve"> </w:t>
      </w:r>
      <w:r>
        <w:t xml:space="preserve">chronic aortic syndromes.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(10), 812–828. https://doi.org/10.1093/eurheartj/ehae014</w:t>
      </w:r>
    </w:p>
    <w:p>
      <w:pPr>
        <w:pStyle w:val="Compact"/>
        <w:numPr>
          <w:ilvl w:val="0"/>
          <w:numId w:val="1005"/>
        </w:numPr>
      </w:pPr>
      <w:r>
        <w:t xml:space="preserve">Fleischmann, D., Afifi, R. O., Casanegra, A. I., Elefteriades, J. A., Gleason, T. G., Hanneman, K., Hope, M. D.,</w:t>
      </w:r>
      <w:r>
        <w:t xml:space="preserve"> </w:t>
      </w:r>
      <w:r>
        <w:t xml:space="preserve">Hughes, G. C., Matsumura, J. S., Rylski, B., Trimarchi, S., &amp; American Heart Association Council on Cardiovascular</w:t>
      </w:r>
      <w:r>
        <w:t xml:space="preserve"> </w:t>
      </w:r>
      <w:r>
        <w:t xml:space="preserve">Radiology and Intervention. (2022). Imaging and surveillance of chronic aortic dissection: A scientific statement</w:t>
      </w:r>
      <w:r>
        <w:t xml:space="preserve"> </w:t>
      </w:r>
      <w:r>
        <w:t xml:space="preserve">from the American Heart Association.</w:t>
      </w:r>
      <w:r>
        <w:t xml:space="preserve"> </w:t>
      </w:r>
      <w:r>
        <w:rPr>
          <w:i/>
          <w:iCs/>
        </w:rPr>
        <w:t xml:space="preserve">Circulation: Cardiovascular Imaging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(3), Article</w:t>
      </w:r>
      <w:r>
        <w:t xml:space="preserve"> </w:t>
      </w:r>
      <w:r>
        <w:t xml:space="preserve">e000075. https://doi.org/10.1161/HCG.0000000000000075</w:t>
      </w:r>
    </w:p>
    <w:p>
      <w:pPr>
        <w:pStyle w:val="Compact"/>
        <w:numPr>
          <w:ilvl w:val="0"/>
          <w:numId w:val="1005"/>
        </w:numPr>
      </w:pPr>
      <w:r>
        <w:t xml:space="preserve">Goddard, A. F., James, M. W., McIntyre, A. S., &amp; Scott, B. B. (2021). British Society of Gastroenterology guidelines</w:t>
      </w:r>
      <w:r>
        <w:t xml:space="preserve"> </w:t>
      </w:r>
      <w:r>
        <w:t xml:space="preserve">for the management of iron deficiency anaemia in adults.</w:t>
      </w:r>
      <w:r>
        <w:t xml:space="preserve"> </w:t>
      </w:r>
      <w:r>
        <w:rPr>
          <w:i/>
          <w:iCs/>
        </w:rPr>
        <w:t xml:space="preserve">Gut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(11),</w:t>
      </w:r>
      <w:r>
        <w:t xml:space="preserve"> </w:t>
      </w:r>
      <w:r>
        <w:t xml:space="preserve">2030–2051. https://doi.org/10.1136/gutjnl-2021-325210</w:t>
      </w:r>
    </w:p>
    <w:p>
      <w:pPr>
        <w:pStyle w:val="Compact"/>
        <w:numPr>
          <w:ilvl w:val="0"/>
          <w:numId w:val="1005"/>
        </w:numPr>
      </w:pPr>
      <w:r>
        <w:t xml:space="preserve">Grundy, S. M., Stone, N. J., Bailey, A. L., Beam, C., Birtcher, K. K., Blumenthal, R. S., Braun, L. T., de Ferranti,</w:t>
      </w:r>
      <w:r>
        <w:t xml:space="preserve"> </w:t>
      </w:r>
      <w:r>
        <w:t xml:space="preserve">S., Faiella-Tommasino, J., Franklin, B. A., Goldberg, U., Heidenreich, P. A., Hlatky, M. A., Ho, M. W., Kim, H. S.,</w:t>
      </w:r>
      <w:r>
        <w:t xml:space="preserve"> </w:t>
      </w:r>
      <w:r>
        <w:t xml:space="preserve">Tamis-Holland, J. E., Krumholz, H. M., Lichtman, J. H., Liu, G., … Yeboah, J. (2019). 2018</w:t>
      </w:r>
      <w:r>
        <w:t xml:space="preserve"> </w:t>
      </w:r>
      <w:r>
        <w:t xml:space="preserve">AHA/ACC/AACVPR/AAPA/ABC/ACPM/ADA/AGS/APhA/ASPC/NLA/PCNA Guideline on the management of blood cholesterol.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</w:t>
      </w:r>
      <w:r>
        <w:t xml:space="preserve"> </w:t>
      </w:r>
      <w:r>
        <w:rPr>
          <w:i/>
          <w:iCs/>
        </w:rPr>
        <w:t xml:space="preserve">139</w:t>
      </w:r>
      <w:r>
        <w:t xml:space="preserve">(25), e1082–e1143. https://doi.org/10.1161/CIR.0000000000000625</w:t>
      </w:r>
    </w:p>
    <w:p>
      <w:pPr>
        <w:pStyle w:val="Compact"/>
        <w:numPr>
          <w:ilvl w:val="0"/>
          <w:numId w:val="1005"/>
        </w:numPr>
      </w:pPr>
      <w:r>
        <w:t xml:space="preserve">Habib, G., Lancellotti, P., Antunes, M. J., Bongiorni, M. G., Casalta, J. P., Del Zotti, F., Dulgheru, R., El</w:t>
      </w:r>
      <w:r>
        <w:t xml:space="preserve"> </w:t>
      </w:r>
      <w:r>
        <w:t xml:space="preserve">Khoury, G., Erba, P. A., Iung, B., Miro, J. M., Mulder, B. J., Plonska-Gosciniak, E., Price, S., Roos-Hesselink, J.,</w:t>
      </w:r>
      <w:r>
        <w:t xml:space="preserve"> </w:t>
      </w:r>
      <w:r>
        <w:t xml:space="preserve">Snygg-Martin, U., Thuny, F., Tornos Mas, P., Vilacosta, I., … Zamorano, J. L. (2023). 2015 ESC Guidelines for the</w:t>
      </w:r>
      <w:r>
        <w:t xml:space="preserve"> </w:t>
      </w:r>
      <w:r>
        <w:t xml:space="preserve">management of infective endocarditis.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36</w:t>
      </w:r>
      <w:r>
        <w:t xml:space="preserve">(44),</w:t>
      </w:r>
      <w:r>
        <w:t xml:space="preserve"> </w:t>
      </w:r>
      <w:r>
        <w:t xml:space="preserve">3075–3128. https://doi.org/10.1093/eurheartj/ehv319</w:t>
      </w:r>
    </w:p>
    <w:p>
      <w:pPr>
        <w:pStyle w:val="Compact"/>
        <w:numPr>
          <w:ilvl w:val="0"/>
          <w:numId w:val="1005"/>
        </w:numPr>
      </w:pPr>
      <w:r>
        <w:t xml:space="preserve">Hagan, P. G., Nienaber, C. A., Isselbacher, E. M., Bruckman, D., Karavite, D. J., Russman, P. L., Evangelista, A.,</w:t>
      </w:r>
      <w:r>
        <w:t xml:space="preserve"> </w:t>
      </w:r>
      <w:r>
        <w:t xml:space="preserve">Fattori, R., Suzuki, T., Oh, J. K., Moore, A. G., Malouf, J. F., Pape, L. A., Galla, J. D., Bouchard, D.,</w:t>
      </w:r>
      <w:r>
        <w:t xml:space="preserve"> </w:t>
      </w:r>
      <w:r>
        <w:t xml:space="preserve">Sankaprabhakar, S., Sechtem, U., Llovet, A., Gilon, D., … Eagle, K. A. (2000). The International Registry of Acute</w:t>
      </w:r>
      <w:r>
        <w:t xml:space="preserve"> </w:t>
      </w:r>
      <w:r>
        <w:t xml:space="preserve">Aortic Dissection (IRAD): New insights into an old disease.</w:t>
      </w:r>
      <w:r>
        <w:t xml:space="preserve"> </w:t>
      </w:r>
      <w:r>
        <w:rPr>
          <w:i/>
          <w:iCs/>
        </w:rPr>
        <w:t xml:space="preserve">JAMA</w:t>
      </w:r>
      <w:r>
        <w:t xml:space="preserve">,</w:t>
      </w:r>
      <w:r>
        <w:t xml:space="preserve"> </w:t>
      </w:r>
      <w:r>
        <w:rPr>
          <w:i/>
          <w:iCs/>
        </w:rPr>
        <w:t xml:space="preserve">283</w:t>
      </w:r>
      <w:r>
        <w:t xml:space="preserve">(7),</w:t>
      </w:r>
      <w:r>
        <w:t xml:space="preserve"> </w:t>
      </w:r>
      <w:r>
        <w:t xml:space="preserve">897–903. https://doi.org/10.1001/jama.283.7.897</w:t>
      </w:r>
    </w:p>
    <w:p>
      <w:pPr>
        <w:pStyle w:val="Compact"/>
        <w:numPr>
          <w:ilvl w:val="0"/>
          <w:numId w:val="1005"/>
        </w:numPr>
      </w:pPr>
      <w:r>
        <w:t xml:space="preserve">Horan, T. C., Andrus, M., &amp; Dudeck, M. A. (2008). CDC/NHSN surveillance definition of health care-associated</w:t>
      </w:r>
      <w:r>
        <w:t xml:space="preserve"> </w:t>
      </w:r>
      <w:r>
        <w:t xml:space="preserve">infection and criteria for specific types of infections in the acute care setting.</w:t>
      </w:r>
      <w:r>
        <w:t xml:space="preserve"> </w:t>
      </w:r>
      <w:r>
        <w:rPr>
          <w:i/>
          <w:iCs/>
        </w:rPr>
        <w:t xml:space="preserve">American Journal of Infection</w:t>
      </w:r>
      <w:r>
        <w:rPr>
          <w:i/>
          <w:iCs/>
        </w:rPr>
        <w:t xml:space="preserve"> </w:t>
      </w:r>
      <w:r>
        <w:rPr>
          <w:i/>
          <w:iCs/>
        </w:rPr>
        <w:t xml:space="preserve">Control</w:t>
      </w:r>
      <w:r>
        <w:t xml:space="preserve">,</w:t>
      </w:r>
      <w:r>
        <w:t xml:space="preserve"> </w:t>
      </w:r>
      <w:r>
        <w:rPr>
          <w:i/>
          <w:iCs/>
        </w:rPr>
        <w:t xml:space="preserve">36</w:t>
      </w:r>
      <w:r>
        <w:t xml:space="preserve">(5), 309–332. https://doi.org/10.1016/j.ajic.2008.03.002</w:t>
      </w:r>
    </w:p>
    <w:p>
      <w:pPr>
        <w:pStyle w:val="Compact"/>
        <w:numPr>
          <w:ilvl w:val="0"/>
          <w:numId w:val="1005"/>
        </w:numPr>
      </w:pPr>
      <w:r>
        <w:t xml:space="preserve">Inker, L. A., Eneanya, N. D., Coresh, J., Tighiouart, H., Wang, D., Sang, Y., Crews, D. C., Doria, A., Estrella, M.</w:t>
      </w:r>
      <w:r>
        <w:t xml:space="preserve"> </w:t>
      </w:r>
      <w:r>
        <w:t xml:space="preserve">M., Froissart, M., Grams, M. E., Greene, T., Grubb, A., Gudnason, V., Gutiérrez, O. M., Kalil, R., Karger, A. B.,</w:t>
      </w:r>
      <w:r>
        <w:t xml:space="preserve"> </w:t>
      </w:r>
      <w:r>
        <w:t xml:space="preserve">Mauer, M., Navis, G., … Chronic Kidney Disease Epidemiology Collaboration. (2021). New creatinine- and cystatin</w:t>
      </w:r>
      <w:r>
        <w:t xml:space="preserve"> </w:t>
      </w:r>
      <w:r>
        <w:t xml:space="preserve">C–based equations to estimate GFR without race.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,</w:t>
      </w:r>
      <w:r>
        <w:t xml:space="preserve"> </w:t>
      </w:r>
      <w:r>
        <w:rPr>
          <w:i/>
          <w:iCs/>
        </w:rPr>
        <w:t xml:space="preserve">385</w:t>
      </w:r>
      <w:r>
        <w:t xml:space="preserve">(19),</w:t>
      </w:r>
      <w:r>
        <w:t xml:space="preserve"> </w:t>
      </w:r>
      <w:r>
        <w:t xml:space="preserve">1737–1749. https://doi.org/10.1056/NEJMoa2102953</w:t>
      </w:r>
    </w:p>
    <w:p>
      <w:pPr>
        <w:pStyle w:val="Compact"/>
        <w:numPr>
          <w:ilvl w:val="0"/>
          <w:numId w:val="1005"/>
        </w:numPr>
      </w:pPr>
      <w:r>
        <w:t xml:space="preserve">Isselbacher, E. M., Preventza, O., Hamilton Black, J., 3rd, Augoustides, J. G., Beck, A. W., Bolen, M. A.,</w:t>
      </w:r>
      <w:r>
        <w:t xml:space="preserve"> </w:t>
      </w:r>
      <w:r>
        <w:t xml:space="preserve">Braverman, A. C., Bray, B. E., Browne, M. M., Collins, J. D., Coselli, J. S., Desai, N. D., Fischbein, M. P.,</w:t>
      </w:r>
      <w:r>
        <w:t xml:space="preserve"> </w:t>
      </w:r>
      <w:r>
        <w:t xml:space="preserve">Gornik, H. L., Hornick, M. A., Huang, C. C., Johnston, W. F., Kelly, R. F., Klingensmith, N. J., … ACC/AHA Joint</w:t>
      </w:r>
      <w:r>
        <w:t xml:space="preserve"> </w:t>
      </w:r>
      <w:r>
        <w:t xml:space="preserve">Committee on Clinical Practice Guidelines. (2022). 2022 ACC/AHA Guideline for the diagnosis and management of aortic</w:t>
      </w:r>
      <w:r>
        <w:t xml:space="preserve"> </w:t>
      </w:r>
      <w:r>
        <w:t xml:space="preserve">disease.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</w:t>
      </w:r>
      <w:r>
        <w:t xml:space="preserve"> </w:t>
      </w:r>
      <w:r>
        <w:rPr>
          <w:i/>
          <w:iCs/>
        </w:rPr>
        <w:t xml:space="preserve">146</w:t>
      </w:r>
      <w:r>
        <w:t xml:space="preserve">(24), e334–e482. https://doi.org/10.1161/CIR.0000000000001106</w:t>
      </w:r>
    </w:p>
    <w:p>
      <w:pPr>
        <w:pStyle w:val="Compact"/>
        <w:numPr>
          <w:ilvl w:val="0"/>
          <w:numId w:val="1005"/>
        </w:numPr>
      </w:pPr>
      <w:r>
        <w:t xml:space="preserve">Kaul, P. (2017). Sternal reconstruction after post-sternotomy mediastinitis.</w:t>
      </w:r>
      <w:r>
        <w:t xml:space="preserve"> </w:t>
      </w:r>
      <w:r>
        <w:rPr>
          <w:i/>
          <w:iCs/>
        </w:rPr>
        <w:t xml:space="preserve">Journal of Cardiothoracic Surgery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Article 94. https://doi.org/10.1186/s13019-017-0656-7</w:t>
      </w:r>
    </w:p>
    <w:p>
      <w:pPr>
        <w:pStyle w:val="Compact"/>
        <w:numPr>
          <w:ilvl w:val="0"/>
          <w:numId w:val="1005"/>
        </w:numPr>
      </w:pPr>
      <w:r>
        <w:t xml:space="preserve">KDIGO CKD Work Group. (2013). KDIGO 2012 clinical practice guideline for the evaluation and management of chronic</w:t>
      </w:r>
      <w:r>
        <w:t xml:space="preserve"> </w:t>
      </w:r>
      <w:r>
        <w:t xml:space="preserve">kidney disease.</w:t>
      </w:r>
      <w:r>
        <w:t xml:space="preserve"> </w:t>
      </w:r>
      <w:r>
        <w:rPr>
          <w:i/>
          <w:iCs/>
        </w:rPr>
        <w:t xml:space="preserve">Kidney International Supplements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1–150. https://doi.org/10.1038/kisup.2012.73</w:t>
      </w:r>
    </w:p>
    <w:p>
      <w:pPr>
        <w:pStyle w:val="Compact"/>
        <w:numPr>
          <w:ilvl w:val="0"/>
          <w:numId w:val="1005"/>
        </w:numPr>
      </w:pPr>
      <w:r>
        <w:t xml:space="preserve">Lau, C., Gregg, A., Ram, E., Mack, C. A., Krieger, K., Rahouma, M., Gambardella, I., Soletti, G., Jr., Gaudino,</w:t>
      </w:r>
      <w:r>
        <w:t xml:space="preserve"> </w:t>
      </w:r>
      <w:r>
        <w:t xml:space="preserve">M., &amp; Girardi, L. N. (2025). Long-term survival and operative outcomes of the Bentall procedure for aortic root</w:t>
      </w:r>
      <w:r>
        <w:t xml:space="preserve"> </w:t>
      </w:r>
      <w:r>
        <w:t xml:space="preserve">aneurysm, aortic dissection, and endocarditis.</w:t>
      </w:r>
      <w:r>
        <w:t xml:space="preserve"> </w:t>
      </w:r>
      <w:r>
        <w:rPr>
          <w:i/>
          <w:iCs/>
        </w:rPr>
        <w:t xml:space="preserve">The Journal of Thoracic and Cardiovascular Surgery</w:t>
      </w:r>
      <w:r>
        <w:t xml:space="preserve">. Advance online</w:t>
      </w:r>
      <w:r>
        <w:t xml:space="preserve"> </w:t>
      </w:r>
      <w:r>
        <w:t xml:space="preserve">publication. https://doi.org/10.1016/j.jtcvs.2025.09.018</w:t>
      </w:r>
    </w:p>
    <w:p>
      <w:pPr>
        <w:pStyle w:val="Compact"/>
        <w:numPr>
          <w:ilvl w:val="0"/>
          <w:numId w:val="1005"/>
        </w:numPr>
      </w:pPr>
      <w:r>
        <w:t xml:space="preserve">Mach, F., Baigent, C., Catapano, A. L., Koskinas, K. C., Casula, M., Badimon, L., Chapman, M. J., De Backer, G. G.,</w:t>
      </w:r>
      <w:r>
        <w:t xml:space="preserve"> </w:t>
      </w:r>
      <w:r>
        <w:t xml:space="preserve">Delgado, V., Ference, B. A., Graham, I. M., Taskinen, M. R., Tokgözoğlu, L., Vardas, P. E., &amp; ESC Scientific</w:t>
      </w:r>
      <w:r>
        <w:t xml:space="preserve"> </w:t>
      </w:r>
      <w:r>
        <w:t xml:space="preserve">Document Group. (2020). 2019 ESC/EAS Guidelines for the management of dyslipidaemias: Lipid modification to reduce</w:t>
      </w:r>
      <w:r>
        <w:t xml:space="preserve"> </w:t>
      </w:r>
      <w:r>
        <w:t xml:space="preserve">cardiovascular risk.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(1), 111–188. https://doi.org/10.1093/eurheartj/ehz455</w:t>
      </w:r>
    </w:p>
    <w:p>
      <w:pPr>
        <w:pStyle w:val="Compact"/>
        <w:numPr>
          <w:ilvl w:val="0"/>
          <w:numId w:val="1005"/>
        </w:numPr>
      </w:pPr>
      <w:r>
        <w:t xml:space="preserve">Mancia, G., Kreutz, R., Brunström, M., Burnier, M., Grassi, G., Januszewicz, A., Muiesan, M. L., Tsioufis, K.,</w:t>
      </w:r>
      <w:r>
        <w:t xml:space="preserve"> </w:t>
      </w:r>
      <w:r>
        <w:t xml:space="preserve">Agabiti-Rosei, E., Azizi, M., Benetos, A., Borghi, C., Erdine, S., Gerdts, E., Kahan, T., Konradi, A., Coca, A.,</w:t>
      </w:r>
      <w:r>
        <w:t xml:space="preserve"> </w:t>
      </w:r>
      <w:r>
        <w:t xml:space="preserve">McManus, R., Parati, G., … ESH Scientific Council. (2023). 2023 ESH Guidelines for the management of arterial</w:t>
      </w:r>
      <w:r>
        <w:t xml:space="preserve"> </w:t>
      </w:r>
      <w:r>
        <w:t xml:space="preserve">hypertension.</w:t>
      </w:r>
      <w:r>
        <w:t xml:space="preserve"> </w:t>
      </w:r>
      <w:r>
        <w:rPr>
          <w:i/>
          <w:iCs/>
        </w:rPr>
        <w:t xml:space="preserve">Journal of Hypertension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(12), 1874–2071. https://doi.org/10.1097/HJH.0000000000003480</w:t>
      </w:r>
    </w:p>
    <w:p>
      <w:pPr>
        <w:pStyle w:val="Compact"/>
        <w:numPr>
          <w:ilvl w:val="0"/>
          <w:numId w:val="1005"/>
        </w:numPr>
      </w:pPr>
      <w:r>
        <w:t xml:space="preserve">McDonagh, T. A., Metra, M., Adamo, M., Gardner, R. S., Baumbach, A., Böhm, M., Burri, H., Butler, J., Čelutkienė,</w:t>
      </w:r>
      <w:r>
        <w:t xml:space="preserve"> </w:t>
      </w:r>
      <w:r>
        <w:t xml:space="preserve">J., Chioncel, O., Cleland, J. G. F., Coats, A. J. S., Crespo-Leiro, M. G., Farmakis, D., Gilard, M., Heymans, S.,</w:t>
      </w:r>
      <w:r>
        <w:t xml:space="preserve"> </w:t>
      </w:r>
      <w:r>
        <w:t xml:space="preserve">Hoes, A. W., Jaarsma, T., Jankowska, E. A., … ESC Scientific Document Group. (2021). 2021 ESC Guidelines for the</w:t>
      </w:r>
      <w:r>
        <w:t xml:space="preserve"> </w:t>
      </w:r>
      <w:r>
        <w:t xml:space="preserve">diagnosis and treatment of acute and chronic heart failure.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(36),</w:t>
      </w:r>
      <w:r>
        <w:t xml:space="preserve"> </w:t>
      </w:r>
      <w:r>
        <w:t xml:space="preserve">3599–3726. https://doi.org/10.1093/eurheartj/ehab368</w:t>
      </w:r>
    </w:p>
    <w:p>
      <w:pPr>
        <w:pStyle w:val="Compact"/>
        <w:numPr>
          <w:ilvl w:val="0"/>
          <w:numId w:val="1005"/>
        </w:numPr>
      </w:pPr>
      <w:r>
        <w:t xml:space="preserve">McEvoy, J. W., McCarthy, C. P., Bruno, R. M., Brouwers, S., Canavan, M., Ceconi, C., Christodorescu, R. M.,</w:t>
      </w:r>
      <w:r>
        <w:t xml:space="preserve"> </w:t>
      </w:r>
      <w:r>
        <w:t xml:space="preserve">D’Agostino, R. B., Sr., de Simone, G., Ferro, C. J., Gevaert, S., Jordan, J., Kahan, T., Mahfoud, F., McManus, R.</w:t>
      </w:r>
      <w:r>
        <w:t xml:space="preserve"> </w:t>
      </w:r>
      <w:r>
        <w:t xml:space="preserve">J., Moran, A. E., Narkiewicz, K., Nilsson, P. M., Pyörälä, M., … ESC Scientific Document Group. (2024). 2024 ESC</w:t>
      </w:r>
      <w:r>
        <w:t xml:space="preserve"> </w:t>
      </w:r>
      <w:r>
        <w:t xml:space="preserve">Guidelines for the management of elevated blood pressure and hypertension.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(38),</w:t>
      </w:r>
      <w:r>
        <w:t xml:space="preserve"> </w:t>
      </w:r>
      <w:r>
        <w:t xml:space="preserve">3897–3972. https://doi.org/10.1093/eurheartj/ehae178</w:t>
      </w:r>
    </w:p>
    <w:p>
      <w:pPr>
        <w:pStyle w:val="Compact"/>
        <w:numPr>
          <w:ilvl w:val="0"/>
          <w:numId w:val="1005"/>
        </w:numPr>
      </w:pPr>
      <w:r>
        <w:t xml:space="preserve">Melby, S. J., Zierer, A., Damiano, R. J., Jr., &amp; Moon, M. R. (2013). Importance of blood pressure control after</w:t>
      </w:r>
      <w:r>
        <w:t xml:space="preserve"> </w:t>
      </w:r>
      <w:r>
        <w:t xml:space="preserve">repair of acute type A aortic dissection: 25-year follow-up in 252 patients.</w:t>
      </w:r>
      <w:r>
        <w:t xml:space="preserve"> </w:t>
      </w:r>
      <w:r>
        <w:rPr>
          <w:i/>
          <w:iCs/>
        </w:rPr>
        <w:t xml:space="preserve">The Journal of Clinical Hypertension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(1), 63–68. https://doi.org/10.1111/jch.12024</w:t>
      </w:r>
    </w:p>
    <w:p>
      <w:pPr>
        <w:pStyle w:val="Compact"/>
        <w:numPr>
          <w:ilvl w:val="0"/>
          <w:numId w:val="1005"/>
        </w:numPr>
      </w:pPr>
      <w:r>
        <w:t xml:space="preserve">Otto, C. M., Nishimura, R. A., Bonow, R. O., Carabello, B. A., Erwin, J. P., 3rd, Gentile, F., Jneid, H., Krieger,</w:t>
      </w:r>
      <w:r>
        <w:t xml:space="preserve"> </w:t>
      </w:r>
      <w:r>
        <w:t xml:space="preserve">E. V., Mack, M., McLeod, C., O’Gara, P. T., Rigolin, V. H., Sundt, T. M., 3rd, Thompson, A., &amp; Toly, C. (2021). 2020</w:t>
      </w:r>
      <w:r>
        <w:t xml:space="preserve"> </w:t>
      </w:r>
      <w:r>
        <w:t xml:space="preserve">ACC/AHA Guideline for the management of patients with valvular heart disease.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</w:t>
      </w:r>
      <w:r>
        <w:t xml:space="preserve"> </w:t>
      </w:r>
      <w:r>
        <w:rPr>
          <w:i/>
          <w:iCs/>
        </w:rPr>
        <w:t xml:space="preserve">143</w:t>
      </w:r>
      <w:r>
        <w:t xml:space="preserve">(5),</w:t>
      </w:r>
      <w:r>
        <w:t xml:space="preserve"> </w:t>
      </w:r>
      <w:r>
        <w:t xml:space="preserve">e72–e227. https://doi.org/10.1161/CIR.0000000000000923</w:t>
      </w:r>
    </w:p>
    <w:p>
      <w:pPr>
        <w:pStyle w:val="Compact"/>
        <w:numPr>
          <w:ilvl w:val="0"/>
          <w:numId w:val="1005"/>
        </w:numPr>
      </w:pPr>
      <w:r>
        <w:t xml:space="preserve">Richards, T., Baikady, R. R., Clevenger, B., Butcher, A., Abeysiri, S., Chau, M., Macdougall, I. C., Murphy, G. J.,</w:t>
      </w:r>
      <w:r>
        <w:t xml:space="preserve"> </w:t>
      </w:r>
      <w:r>
        <w:t xml:space="preserve">Swart, M., Collier, T., Van Dyck, L., Browne, J., &amp; PREVENTT Investigators. (2021). Preoperative intravenous iron</w:t>
      </w:r>
      <w:r>
        <w:t xml:space="preserve"> </w:t>
      </w:r>
      <w:r>
        <w:t xml:space="preserve">for anaemia in elective major open abdominal surgery (PREVENTT): A randomised, double-blind, controlled trial.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Lancet</w:t>
      </w:r>
      <w:r>
        <w:t xml:space="preserve">,</w:t>
      </w:r>
      <w:r>
        <w:t xml:space="preserve"> </w:t>
      </w:r>
      <w:r>
        <w:rPr>
          <w:i/>
          <w:iCs/>
        </w:rPr>
        <w:t xml:space="preserve">396</w:t>
      </w:r>
      <w:r>
        <w:t xml:space="preserve">(10259), 1353–1361. https://doi.org/10.1016/S0140-6736(20)31539-7</w:t>
      </w:r>
    </w:p>
    <w:p>
      <w:pPr>
        <w:pStyle w:val="Compact"/>
        <w:numPr>
          <w:ilvl w:val="0"/>
          <w:numId w:val="1005"/>
        </w:numPr>
      </w:pPr>
      <w:r>
        <w:t xml:space="preserve">Rosendaal, F. R., Cannegieter, S. C., van der Meer, F. J., &amp; Briët, E. (1993). A method to determine the optimal</w:t>
      </w:r>
      <w:r>
        <w:t xml:space="preserve"> </w:t>
      </w:r>
      <w:r>
        <w:t xml:space="preserve">intensity of oral anticoagulant therapy.</w:t>
      </w:r>
      <w:r>
        <w:t xml:space="preserve"> </w:t>
      </w:r>
      <w:r>
        <w:rPr>
          <w:i/>
          <w:iCs/>
        </w:rPr>
        <w:t xml:space="preserve">Thrombosis and Haemostasis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(3),</w:t>
      </w:r>
      <w:r>
        <w:t xml:space="preserve"> </w:t>
      </w:r>
      <w:r>
        <w:t xml:space="preserve">236–239. https://doi.org/10.1055/s-0038-1651587</w:t>
      </w:r>
    </w:p>
    <w:p>
      <w:pPr>
        <w:pStyle w:val="Compact"/>
        <w:numPr>
          <w:ilvl w:val="0"/>
          <w:numId w:val="1005"/>
        </w:numPr>
      </w:pPr>
      <w:r>
        <w:t xml:space="preserve">Snook, J., Bhala, N., Beales, I. L. P., Cannings, D., Kightley, C., Logan, R. P. H., Pritchard, D. M., Sidhu, R.,</w:t>
      </w:r>
      <w:r>
        <w:t xml:space="preserve"> </w:t>
      </w:r>
      <w:r>
        <w:t xml:space="preserve">Surgenor, S., Thomas, W., Verma, A. M., &amp; Goddard, A. F. (2021). British Society of Gastroenterology guidelines for</w:t>
      </w:r>
      <w:r>
        <w:t xml:space="preserve"> </w:t>
      </w:r>
      <w:r>
        <w:t xml:space="preserve">the management of iron deficiency anaemia in adults.</w:t>
      </w:r>
      <w:r>
        <w:t xml:space="preserve"> </w:t>
      </w:r>
      <w:r>
        <w:rPr>
          <w:i/>
          <w:iCs/>
        </w:rPr>
        <w:t xml:space="preserve">Gut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(11),</w:t>
      </w:r>
      <w:r>
        <w:t xml:space="preserve"> </w:t>
      </w:r>
      <w:r>
        <w:t xml:space="preserve">2030–2051. https://doi.org/10.1136/gutjnl-2021-325210</w:t>
      </w:r>
    </w:p>
    <w:p>
      <w:pPr>
        <w:pStyle w:val="Compact"/>
        <w:numPr>
          <w:ilvl w:val="0"/>
          <w:numId w:val="1005"/>
        </w:numPr>
      </w:pPr>
      <w:r>
        <w:t xml:space="preserve">Tadros, R. O., Tang, G. H. L., Barnes, H. J., Moussa, I. D., Fischbein, M. P., Lansman, S. L., &amp; Marin, M. L.</w:t>
      </w:r>
      <w:r>
        <w:t xml:space="preserve"> </w:t>
      </w:r>
      <w:r>
        <w:t xml:space="preserve">(2019). Optimal medical therapy in type B aortic dissection: A review.</w:t>
      </w:r>
      <w:r>
        <w:t xml:space="preserve"> </w:t>
      </w:r>
      <w:r>
        <w:rPr>
          <w:i/>
          <w:iCs/>
        </w:rPr>
        <w:t xml:space="preserve">JACC: Basic to Translational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 </w:t>
      </w:r>
      <w:r>
        <w:t xml:space="preserve">(6), 748–759. https://doi.org/10.1016/j.jacbts.2019.05.009</w:t>
      </w:r>
    </w:p>
    <w:p>
      <w:pPr>
        <w:pStyle w:val="Compact"/>
        <w:numPr>
          <w:ilvl w:val="0"/>
          <w:numId w:val="1005"/>
        </w:numPr>
      </w:pPr>
      <w:r>
        <w:t xml:space="preserve">Vahanian, A., Beyersdorf, F., Praz, F., Milojevic, M., Baldus, S., Bauersachs, J., Capodanno, D., Conradi, L., De</w:t>
      </w:r>
      <w:r>
        <w:t xml:space="preserve"> </w:t>
      </w:r>
      <w:r>
        <w:t xml:space="preserve">Bonis, M., De Paulis, R., Delgado, V., Freemantle, N., Gilard, M., Haugaa, K. H., Jeppsson, A., Jüni, P., Pierard,</w:t>
      </w:r>
      <w:r>
        <w:t xml:space="preserve"> </w:t>
      </w:r>
      <w:r>
        <w:t xml:space="preserve">L., Prendergast, B. D., Sádaba, J. R., … ESC/EACTS Scientific Document Group. (2022). 2021 ESC/EACTS Guidelines for</w:t>
      </w:r>
      <w:r>
        <w:t xml:space="preserve"> </w:t>
      </w:r>
      <w:r>
        <w:t xml:space="preserve">the management of valvular heart disease.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(7),</w:t>
      </w:r>
      <w:r>
        <w:t xml:space="preserve"> </w:t>
      </w:r>
      <w:r>
        <w:t xml:space="preserve">561–632. https://doi.org/10.1093/eurheartj/ehab395</w:t>
      </w:r>
    </w:p>
    <w:p>
      <w:pPr>
        <w:pStyle w:val="Compact"/>
        <w:numPr>
          <w:ilvl w:val="0"/>
          <w:numId w:val="1005"/>
        </w:numPr>
      </w:pPr>
      <w:r>
        <w:t xml:space="preserve">Whitlock, R. P., Sun, J. C., Fremes, S. E., Rubens, F. D., Teoh, K. H., &amp; American College of Chest Physicians.</w:t>
      </w:r>
      <w:r>
        <w:t xml:space="preserve"> </w:t>
      </w:r>
      <w:r>
        <w:t xml:space="preserve">(2023). Antithrombotic and thrombolytic therapy for valvular disease: Antithrombotic Therapy and Prevention of</w:t>
      </w:r>
      <w:r>
        <w:t xml:space="preserve"> </w:t>
      </w:r>
      <w:r>
        <w:t xml:space="preserve">Thrombosis, 9th ed: American College of Chest Physicians Evidence-Based Clinical Practice Guidelines.</w:t>
      </w:r>
      <w:r>
        <w:t xml:space="preserve"> </w:t>
      </w:r>
      <w:r>
        <w:rPr>
          <w:i/>
          <w:iCs/>
        </w:rPr>
        <w:t xml:space="preserve">Chest</w:t>
      </w:r>
      <w:r>
        <w:t xml:space="preserve">,</w:t>
      </w:r>
      <w:r>
        <w:t xml:space="preserve"> </w:t>
      </w:r>
      <w:r>
        <w:rPr>
          <w:i/>
          <w:iCs/>
        </w:rPr>
        <w:t xml:space="preserve">141</w:t>
      </w:r>
      <w:r>
        <w:t xml:space="preserve"> </w:t>
      </w:r>
      <w:r>
        <w:t xml:space="preserve">(2 Suppl), e576S–e600S. https://doi.org/10.1378/chest.11-2305</w:t>
      </w:r>
    </w:p>
    <w:p>
      <w:pPr>
        <w:pStyle w:val="Compact"/>
        <w:numPr>
          <w:ilvl w:val="0"/>
          <w:numId w:val="1005"/>
        </w:numPr>
      </w:pPr>
      <w:r>
        <w:t xml:space="preserve">Wilson, W. R., Gewitz, M., Lockhart, P. B., Bolger, A. F., Cabell, C. H., Leison, K. A., Taubert, K. A., &amp; American</w:t>
      </w:r>
      <w:r>
        <w:t xml:space="preserve"> </w:t>
      </w:r>
      <w:r>
        <w:t xml:space="preserve">Heart Association. (2016). Prevention of infective endocarditis: Guidelines from the American Heart Association.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(15), 1736–1754. https://doi.org/10.1161/CIRCULATIONAHA.106.183095</w:t>
      </w:r>
    </w:p>
    <w:p>
      <w:pPr>
        <w:pStyle w:val="Compact"/>
        <w:numPr>
          <w:ilvl w:val="0"/>
          <w:numId w:val="1005"/>
        </w:numPr>
      </w:pPr>
      <w:r>
        <w:t xml:space="preserve">World Health Organization. (2011).</w:t>
      </w:r>
      <w:r>
        <w:t xml:space="preserve"> </w:t>
      </w:r>
      <w:r>
        <w:rPr>
          <w:i/>
          <w:iCs/>
        </w:rPr>
        <w:t xml:space="preserve">Haemoglobin concentrations for the diagnosis of anaemia and assessment of</w:t>
      </w:r>
      <w:r>
        <w:rPr>
          <w:i/>
          <w:iCs/>
        </w:rPr>
        <w:t xml:space="preserve"> </w:t>
      </w:r>
      <w:r>
        <w:rPr>
          <w:i/>
          <w:iCs/>
        </w:rPr>
        <w:t xml:space="preserve">severity</w:t>
      </w:r>
      <w:r>
        <w:t xml:space="preserve"> </w:t>
      </w:r>
      <w:r>
        <w:t xml:space="preserve">(WHO/NMH/NHD/MNM/11.1). World Health Organization. https://apps.who.int/iris/handle/10665/85839</w:t>
      </w:r>
    </w:p>
    <w:p>
      <w:pPr>
        <w:pStyle w:val="Compact"/>
        <w:numPr>
          <w:ilvl w:val="0"/>
          <w:numId w:val="1005"/>
        </w:numPr>
      </w:pPr>
      <w:r>
        <w:t xml:space="preserve">Zhang, Q., Simoneau, G., Verstuyft, C., Drouet, L., Bal dit Sollier, C., Alvarez, J. C., Rizzo-Padoin, N., Bergmann,</w:t>
      </w:r>
      <w:r>
        <w:t xml:space="preserve"> </w:t>
      </w:r>
      <w:r>
        <w:t xml:space="preserve">J. F., Becquemont, L., &amp; Mouly, S. (2011). Amoxicillin/clavulanic acid–warfarin drug interaction: A randomized</w:t>
      </w:r>
      <w:r>
        <w:t xml:space="preserve"> </w:t>
      </w:r>
      <w:r>
        <w:t xml:space="preserve">controlled trial.</w:t>
      </w:r>
      <w:r>
        <w:t xml:space="preserve"> </w:t>
      </w:r>
      <w:r>
        <w:rPr>
          <w:i/>
          <w:iCs/>
        </w:rPr>
        <w:t xml:space="preserve">British Journal of Clinical Pharmacology</w:t>
      </w:r>
      <w:r>
        <w:t xml:space="preserve">,</w:t>
      </w:r>
      <w:r>
        <w:t xml:space="preserve"> </w:t>
      </w:r>
      <w:r>
        <w:rPr>
          <w:i/>
          <w:iCs/>
        </w:rPr>
        <w:t xml:space="preserve">71</w:t>
      </w:r>
      <w:r>
        <w:t xml:space="preserve">(2),</w:t>
      </w:r>
      <w:r>
        <w:t xml:space="preserve"> </w:t>
      </w:r>
      <w:r>
        <w:t xml:space="preserve">232–236. https://doi.org/10.1111/j.1365-2125.2010.03824.x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2026-09-16T08:42:36Z</dcterms:created>
  <dcterms:modified xsi:type="dcterms:W3CDTF">2026-09-16T08:42:36Z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