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eb98d01eed0101f04758f9680f444b627a1fc81"/>
    <w:p>
      <w:pPr>
        <w:pStyle w:val="Heading1"/>
      </w:pPr>
      <w:r>
        <w:t xml:space="preserve">16 Eylül 2026 Klinik Karar Destek ve Boylamsal Konsültasyon Raporu</w:t>
      </w:r>
    </w:p>
    <w:p>
      <w:pPr>
        <w:pStyle w:val="FirstParagraph"/>
      </w:pPr>
      <w:r>
        <w:rPr>
          <w:b/>
          <w:bCs/>
        </w:rPr>
        <w:t xml:space="preserve">Hasta:</w:t>
      </w:r>
      <w:r>
        <w:t xml:space="preserve"> </w:t>
      </w:r>
      <w:r>
        <w:t xml:space="preserve">Alaattin Sönmez</w:t>
      </w:r>
      <w:r>
        <w:br/>
      </w:r>
      <w:r>
        <w:rPr>
          <w:b/>
          <w:bCs/>
        </w:rPr>
        <w:t xml:space="preserve">Cinsiyet / Yaş:</w:t>
      </w:r>
      <w:r>
        <w:t xml:space="preserve"> </w:t>
      </w:r>
      <w:r>
        <w:t xml:space="preserve">Erkek / 64</w:t>
      </w:r>
      <w:r>
        <w:br/>
      </w:r>
      <w:r>
        <w:rPr>
          <w:b/>
          <w:bCs/>
        </w:rPr>
        <w:t xml:space="preserve">Doğum tarihi:</w:t>
      </w:r>
      <w:r>
        <w:t xml:space="preserve"> </w:t>
      </w:r>
      <w:r>
        <w:t xml:space="preserve">01.01.1962</w:t>
      </w:r>
      <w:r>
        <w:br/>
      </w:r>
      <w:r>
        <w:rPr>
          <w:b/>
          <w:bCs/>
        </w:rPr>
        <w:t xml:space="preserve">Değerlendirme tarihi:</w:t>
      </w:r>
      <w:r>
        <w:t xml:space="preserve"> </w:t>
      </w:r>
      <w:r>
        <w:t xml:space="preserve">16.09.2026</w:t>
      </w:r>
      <w:r>
        <w:br/>
      </w:r>
      <w:r>
        <w:rPr>
          <w:b/>
          <w:bCs/>
        </w:rPr>
        <w:t xml:space="preserve">Operasyon:</w:t>
      </w:r>
      <w:r>
        <w:t xml:space="preserve"> </w:t>
      </w:r>
      <w:r>
        <w:t xml:space="preserve">20.02.2026 acil Bentall prosedürü</w:t>
      </w:r>
      <w:r>
        <w:br/>
      </w:r>
      <w:r>
        <w:rPr>
          <w:b/>
          <w:bCs/>
        </w:rPr>
        <w:t xml:space="preserve">Postoperatif gün:</w:t>
      </w:r>
      <w:r>
        <w:t xml:space="preserve"> </w:t>
      </w:r>
      <w:r>
        <w:t xml:space="preserve">208. gün</w:t>
      </w:r>
      <w:r>
        <w:br/>
      </w:r>
      <w:r>
        <w:rPr>
          <w:b/>
          <w:bCs/>
        </w:rPr>
        <w:t xml:space="preserve">Veri kaynağı:</w:t>
      </w:r>
      <w:r>
        <w:t xml:space="preserve"> </w:t>
      </w:r>
      <w:r>
        <w:rPr>
          <w:rStyle w:val="VerbatimChar"/>
        </w:rPr>
        <w:t xml:space="preserve">ai/2026-09-16_10-33-58_alaattin-sonmez_all-data.json</w:t>
      </w:r>
      <w:r>
        <w:t xml:space="preserve">, “All Historical Data” dışa aktarımı</w:t>
      </w:r>
      <w:r>
        <w:br/>
      </w:r>
      <w:r>
        <w:rPr>
          <w:b/>
          <w:bCs/>
        </w:rPr>
        <w:t xml:space="preserve">Klinik kapsam:</w:t>
      </w:r>
      <w:r>
        <w:t xml:space="preserve"> </w:t>
      </w:r>
      <w:r>
        <w:t xml:space="preserve">Kardiyovasküler cerrahi, mekanik protez kapak antikoagülasyonu, rezidüel Tip B aort diseksiyonu, hemodinamik kontrol, inflamasyon/enfeksiyon izlemi ve demir eksikliği anemisi.</w:t>
      </w:r>
    </w:p>
    <w:p>
      <w:pPr>
        <w:pStyle w:val="BlockText"/>
      </w:pPr>
      <w:r>
        <w:rPr>
          <w:b/>
          <w:bCs/>
        </w:rPr>
        <w:t xml:space="preserve">Klinik güvenlik notu:</w:t>
      </w:r>
      <w:r>
        <w:t xml:space="preserve"> </w:t>
      </w:r>
      <w:r>
        <w:t xml:space="preserve">Bu belge klinik karar destek ve veri sentezi amacıyla hazırlanmıştır. Mekanik kapak antikoagülasyonu, antibiyotik sonrası INR yönetimi, sternal enfeksiyon değerlendirmesi ve rezidüel aort diseksiyonu izlemi doğrudan sorumlu kardiyoloji, kalp-damar cerrahisi, hematoloji/enfeksiyon hastalıkları ve ilgili klinik ekip tarafından yönetilmelidir. Warfarin dozundaki herhangi bir değişiklik INR izlemi ve hekim onayı olmadan uygulanmamalıdır. Özellikle 15.09.2026 tarihli INR 1,95 sonucu için aynı gün/çok kısa aralıkta klinik değerlendirme gereklidir.</w:t>
      </w:r>
    </w:p>
    <w:bookmarkStart w:id="9" w:name="X8a7bf3fe1b43b7d12fe635367e1b3bbb296b95b"/>
    <w:p>
      <w:pPr>
        <w:pStyle w:val="Heading2"/>
      </w:pPr>
      <w:r>
        <w:t xml:space="preserve">1. Klinik Künye</w:t>
      </w:r>
    </w:p>
    <w:p>
      <w:pPr>
        <w:pStyle w:val="FirstParagraph"/>
      </w:pPr>
      <w:r>
        <w:t xml:space="preserve">Hasta 19.02.2026 tarihinde ani başlayan şiddetli göğüs ve sırt ağrısı ile acil başvurmuş; seri sevk sürecinde akut Stanford Tip A aort diseksiyonu ve 5,3 cm asendan aort anevrizması tanısı kesinleşmiştir. 20.02.2026 tarihinde derin hipotermik sirkülatuar arrest altında acil Bentall prosedürü uygulanmış; 32 mm polyester Dacron greft, 25 mm Carbomedics mekanik aort kapak protezi ve koroner buton reimplantasyonu gerçekleştirilmiştir. İhraç verisinde arkustan iliak bifurkasyona kadar uzanan patent rezidüel diseksiyon flebi kayıtlıdır. Bu anatomik durum yaşam boyu görüntüleme ve kan basıncı kontrolünü gerektiren kronik aort hastalığı bağlamı oluşturur (Isselbacher et al., 2022).</w:t>
      </w:r>
    </w:p>
    <w:p>
      <w:pPr>
        <w:pStyle w:val="BodyText"/>
      </w:pPr>
      <w:r>
        <w:t xml:space="preserve">Postoperatif seyirde Mart ayında gastrointestinal yakınmalar, Nisan ayında tekrarlayan hipertansif ataklar ve Temmuz sonunda ciddi sternal dehissens, enfeksiyon ve doku defekti yaşanmıştır. 23–28.07.2026 döneminde sternal yara için yoğun bakım/yara bakımı, sütürasyon, transfüzyon ve antibakteriyel tedavi kaydı bulunmaktadır. Bu seyir, 15.09.2026 tarihli inflamasyon markerlarının değerlendirilmesinde yakın klinik korelasyonu gerekli kılmaktadır (Delgado et al., 2023).</w:t>
      </w:r>
    </w:p>
    <w:bookmarkEnd w:id="9"/>
    <w:bookmarkStart w:id="10" w:name="X25e166b66b6256fefc74fd7c1d8befe5acbb808"/>
    <w:p>
      <w:pPr>
        <w:pStyle w:val="Heading2"/>
      </w:pPr>
      <w:r>
        <w:t xml:space="preserve">2. Yönetici Özeti — 6 KPI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KPI</w:t>
            </w:r>
          </w:p>
        </w:tc>
        <w:tc>
          <w:tcPr/>
          <w:p>
            <w:pPr>
              <w:pStyle w:val="Compact"/>
              <w:jc w:val="right"/>
            </w:pPr>
            <w:r>
              <w:t xml:space="preserve">16.09.2026 klinik durumu</w:t>
            </w:r>
          </w:p>
        </w:tc>
        <w:tc>
          <w:tcPr/>
          <w:p>
            <w:pPr>
              <w:pStyle w:val="Compact"/>
            </w:pPr>
            <w:r>
              <w:t xml:space="preserve">Boylamsal değişim / yorum</w:t>
            </w:r>
          </w:p>
        </w:tc>
        <w:tc>
          <w:tcPr/>
          <w:p>
            <w:pPr>
              <w:pStyle w:val="Compact"/>
            </w:pPr>
            <w:r>
              <w:t xml:space="preserve">Durum</w:t>
            </w:r>
          </w:p>
        </w:tc>
      </w:tr>
      <w:tr>
        <w:tc>
          <w:tcPr/>
          <w:p>
            <w:pPr>
              <w:pStyle w:val="Compact"/>
            </w:pPr>
            <w:r>
              <w:rPr>
                <w:b/>
                <w:bCs/>
              </w:rPr>
              <w:t xml:space="preserve">7 günlük ev tansiyonu</w:t>
            </w:r>
          </w:p>
        </w:tc>
        <w:tc>
          <w:tcPr/>
          <w:p>
            <w:pPr>
              <w:pStyle w:val="Compact"/>
              <w:jc w:val="right"/>
            </w:pPr>
            <w:r>
              <w:rPr>
                <w:b/>
                <w:bCs/>
              </w:rPr>
              <w:t xml:space="preserve">113/75 mmHg</w:t>
            </w:r>
          </w:p>
        </w:tc>
        <w:tc>
          <w:tcPr/>
          <w:p>
            <w:pPr>
              <w:pStyle w:val="Compact"/>
            </w:pPr>
            <w:r>
              <w:t xml:space="preserve">Son kayıt 15.09.2026: 115/77 mmHg; ev ölçümleri tedavi altında düşük-normal bantta seyrediyor</w:t>
            </w:r>
          </w:p>
        </w:tc>
        <w:tc>
          <w:tcPr/>
          <w:p>
            <w:pPr>
              <w:pStyle w:val="Compact"/>
            </w:pPr>
            <w:r>
              <w:t xml:space="preserve">Hemodinamik olarak kontrollü</w:t>
            </w:r>
          </w:p>
        </w:tc>
      </w:tr>
      <w:tr>
        <w:tc>
          <w:tcPr/>
          <w:p>
            <w:pPr>
              <w:pStyle w:val="Compact"/>
            </w:pPr>
            <w:r>
              <w:rPr>
                <w:b/>
                <w:bCs/>
              </w:rPr>
              <w:t xml:space="preserve">INR</w:t>
            </w:r>
          </w:p>
        </w:tc>
        <w:tc>
          <w:tcPr/>
          <w:p>
            <w:pPr>
              <w:pStyle w:val="Compact"/>
              <w:jc w:val="right"/>
            </w:pPr>
            <w:r>
              <w:rPr>
                <w:b/>
                <w:bCs/>
              </w:rPr>
              <w:t xml:space="preserve">1,95</w:t>
            </w:r>
          </w:p>
        </w:tc>
        <w:tc>
          <w:tcPr/>
          <w:p>
            <w:pPr>
              <w:pStyle w:val="Compact"/>
            </w:pPr>
            <w:r>
              <w:t xml:space="preserve">10.09.2026: 2,12 →</w:t>
            </w:r>
            <w:r>
              <w:t xml:space="preserve"> </w:t>
            </w:r>
            <w:r>
              <w:rPr>
                <w:b/>
                <w:bCs/>
              </w:rPr>
              <w:t xml:space="preserve">−8,0%</w:t>
            </w:r>
            <w:r>
              <w:t xml:space="preserve">; klinik hedef 2,0–3,0 aralığının hemen altında</w:t>
            </w:r>
          </w:p>
        </w:tc>
        <w:tc>
          <w:tcPr/>
          <w:p>
            <w:pPr>
              <w:pStyle w:val="Compact"/>
            </w:pPr>
            <w:r>
              <w:rPr>
                <w:b/>
                <w:bCs/>
              </w:rPr>
              <w:t xml:space="preserve">Öncelikli güvenlik alarmı</w:t>
            </w:r>
          </w:p>
        </w:tc>
      </w:tr>
      <w:tr>
        <w:tc>
          <w:tcPr/>
          <w:p>
            <w:pPr>
              <w:pStyle w:val="Compact"/>
            </w:pPr>
            <w:r>
              <w:rPr>
                <w:b/>
                <w:bCs/>
              </w:rPr>
              <w:t xml:space="preserve">Hemoglobin</w:t>
            </w:r>
          </w:p>
        </w:tc>
        <w:tc>
          <w:tcPr/>
          <w:p>
            <w:pPr>
              <w:pStyle w:val="Compact"/>
              <w:jc w:val="right"/>
            </w:pPr>
            <w:r>
              <w:rPr>
                <w:b/>
                <w:bCs/>
              </w:rPr>
              <w:t xml:space="preserve">9,7 g/dL</w:t>
            </w:r>
          </w:p>
        </w:tc>
        <w:tc>
          <w:tcPr/>
          <w:p>
            <w:pPr>
              <w:pStyle w:val="Compact"/>
            </w:pPr>
            <w:r>
              <w:t xml:space="preserve">08.09.2026: 9,7 →</w:t>
            </w:r>
            <w:r>
              <w:t xml:space="preserve"> </w:t>
            </w:r>
            <w:r>
              <w:rPr>
                <w:b/>
                <w:bCs/>
              </w:rPr>
              <w:t xml:space="preserve">0,0%</w:t>
            </w:r>
            <w:r>
              <w:t xml:space="preserve">; 15.09.2026'da anemi sürüyor</w:t>
            </w:r>
          </w:p>
        </w:tc>
        <w:tc>
          <w:tcPr/>
          <w:p>
            <w:pPr>
              <w:pStyle w:val="Compact"/>
            </w:pPr>
            <w:r>
              <w:t xml:space="preserve">Belirgin demir eksikliği anemisi</w:t>
            </w:r>
          </w:p>
        </w:tc>
      </w:tr>
      <w:tr>
        <w:tc>
          <w:tcPr/>
          <w:p>
            <w:pPr>
              <w:pStyle w:val="Compact"/>
            </w:pPr>
            <w:r>
              <w:rPr>
                <w:b/>
                <w:bCs/>
              </w:rPr>
              <w:t xml:space="preserve">Ferritin</w:t>
            </w:r>
          </w:p>
        </w:tc>
        <w:tc>
          <w:tcPr/>
          <w:p>
            <w:pPr>
              <w:pStyle w:val="Compact"/>
              <w:jc w:val="right"/>
            </w:pPr>
            <w:r>
              <w:rPr>
                <w:b/>
                <w:bCs/>
              </w:rPr>
              <w:t xml:space="preserve">19 µg/L</w:t>
            </w:r>
          </w:p>
        </w:tc>
        <w:tc>
          <w:tcPr/>
          <w:p>
            <w:pPr>
              <w:pStyle w:val="Compact"/>
            </w:pPr>
            <w:r>
              <w:t xml:space="preserve">Son mevcut değer 08.09.2026; veri setinde yeni ferritin Test #93 içinde bulunmuyor</w:t>
            </w:r>
          </w:p>
        </w:tc>
        <w:tc>
          <w:tcPr/>
          <w:p>
            <w:pPr>
              <w:pStyle w:val="Compact"/>
            </w:pPr>
            <w:r>
              <w:t xml:space="preserve">Demir depoları düşük</w:t>
            </w:r>
          </w:p>
        </w:tc>
      </w:tr>
      <w:tr>
        <w:tc>
          <w:tcPr/>
          <w:p>
            <w:pPr>
              <w:pStyle w:val="Compact"/>
            </w:pPr>
            <w:r>
              <w:rPr>
                <w:b/>
                <w:bCs/>
              </w:rPr>
              <w:t xml:space="preserve">CRP</w:t>
            </w:r>
          </w:p>
        </w:tc>
        <w:tc>
          <w:tcPr/>
          <w:p>
            <w:pPr>
              <w:pStyle w:val="Compact"/>
              <w:jc w:val="right"/>
            </w:pPr>
            <w:r>
              <w:rPr>
                <w:b/>
                <w:bCs/>
              </w:rPr>
              <w:t xml:space="preserve">5,7 mg/L</w:t>
            </w:r>
          </w:p>
        </w:tc>
        <w:tc>
          <w:tcPr/>
          <w:p>
            <w:pPr>
              <w:pStyle w:val="Compact"/>
            </w:pPr>
            <w:r>
              <w:t xml:space="preserve">08.09.2026: 11,3 →</w:t>
            </w:r>
            <w:r>
              <w:t xml:space="preserve"> </w:t>
            </w:r>
            <w:r>
              <w:rPr>
                <w:b/>
                <w:bCs/>
              </w:rPr>
              <w:t xml:space="preserve">−49,6%</w:t>
            </w:r>
          </w:p>
        </w:tc>
        <w:tc>
          <w:tcPr/>
          <w:p>
            <w:pPr>
              <w:pStyle w:val="Compact"/>
            </w:pPr>
            <w:r>
              <w:t xml:space="preserve">Belirgin gerileme, hâlâ laboratuvar üst sınırının hafif üzerinde</w:t>
            </w:r>
          </w:p>
        </w:tc>
      </w:tr>
      <w:tr>
        <w:tc>
          <w:tcPr/>
          <w:p>
            <w:pPr>
              <w:pStyle w:val="Compact"/>
            </w:pPr>
            <w:r>
              <w:rPr>
                <w:b/>
                <w:bCs/>
              </w:rPr>
              <w:t xml:space="preserve">Kilo</w:t>
            </w:r>
          </w:p>
        </w:tc>
        <w:tc>
          <w:tcPr/>
          <w:p>
            <w:pPr>
              <w:pStyle w:val="Compact"/>
              <w:jc w:val="right"/>
            </w:pPr>
            <w:r>
              <w:rPr>
                <w:b/>
                <w:bCs/>
              </w:rPr>
              <w:t xml:space="preserve">78,9 kg</w:t>
            </w:r>
          </w:p>
        </w:tc>
        <w:tc>
          <w:tcPr/>
          <w:p>
            <w:pPr>
              <w:pStyle w:val="Compact"/>
            </w:pPr>
            <w:r>
              <w:t xml:space="preserve">10.09.2026: 78,4 kg; 15 ve 16.09.2026: 78,9 kg</w:t>
            </w:r>
          </w:p>
        </w:tc>
        <w:tc>
          <w:tcPr/>
          <w:p>
            <w:pPr>
              <w:pStyle w:val="Compact"/>
            </w:pPr>
            <w:r>
              <w:t xml:space="preserve">Son 48 saatte stabil</w:t>
            </w:r>
          </w:p>
        </w:tc>
      </w:tr>
    </w:tbl>
    <w:p>
      <w:pPr>
        <w:pStyle w:val="BodyText"/>
      </w:pPr>
      <w:r>
        <w:t xml:space="preserve">Veri kaydına göre 15.09.2026 Test #93'te INR 1,95, CRP 5,7 mg/L, hemoglobin 9,7 g/dL, kreatinin 1,11 mg/dL, eGFR 70,89 mL/dk/1,73 m² ve trombosit 368 × 10</w:t>
      </w:r>
      <w:r>
        <w:t xml:space="preserve">9</w:t>
      </w:r>
      <w:r>
        <w:t xml:space="preserve">/L ölçülmüştür. Ferritin 19 µg/L, demir 15 µg/dL, UIBC 326,8 µg/dL ve B12 638 pg/mL ise son olarak 08.09.2026 Test #90'da kayıtlıdır; bu dört parametre 15.09.2026 Test #93 sonucu gibi gösterilmemelidir. Bu ayrım, veri tabanındaki otomatik klinik özet ile ham zaman damgalı TestItem kayıtları arasındaki olası uyumsuzluk nedeniyle özellikle korunmuştur.</w:t>
      </w:r>
    </w:p>
    <w:bookmarkEnd w:id="10"/>
    <w:bookmarkStart w:id="16" w:name="Xc77cad11aeae3ccef04f5463c8abb31b5e1c844"/>
    <w:p>
      <w:pPr>
        <w:pStyle w:val="Heading2"/>
      </w:pPr>
      <w:r>
        <w:t xml:space="preserve">3. Patofizyolojik Değerlendirme</w:t>
      </w:r>
    </w:p>
    <w:bookmarkStart w:id="11" w:name="X9979943c593732c61bf65f583cd6e3da33ef4bc"/>
    <w:p>
      <w:pPr>
        <w:pStyle w:val="Heading3"/>
      </w:pPr>
      <w:r>
        <w:t xml:space="preserve">3.1 Hemodinamik kontrol ve rezidüel aort diseksiyonu</w:t>
      </w:r>
    </w:p>
    <w:p>
      <w:pPr>
        <w:pStyle w:val="FirstParagraph"/>
      </w:pPr>
      <w:r>
        <w:t xml:space="preserve">Son 7 günlük ev kan basıncı ortalaması 113/75 mmHg'dir. Bu seviye 2024 ESC kılavuzundaki tedavi altındaki çoğu erişkin için önerilen 120–129/70–79 mmHg hedef bandının altında sistolik basınç sergiler; değerlendirme semptom, ortostatik tolerans ve ölçüm tekniği ile birlikte yapılmalıdır (McEvoy et al., 2024). Aort diseksiyonu sonrası kan basıncı ve nabız kontrolü aort duvar stresini azaltma amacının temel parçalarındandır (Isselbacher et al., 2022).</w:t>
      </w:r>
    </w:p>
    <w:p>
      <w:pPr>
        <w:pStyle w:val="BodyText"/>
      </w:pPr>
      <w:r>
        <w:t xml:space="preserve">Mevcut ilaç şeması carvedilol eşdeğeri beta-blokaj ve perindopril ile sistemik basınç kontrolünü sürdürmektedir. Karvedilolün negatif kronotropik ve inotropik etkileri ile perindoprilin renin-anjiyotensin sistemini baskılaması, kalp hızı ve sistolik yükün azaltılmasına hizmet eder; ancak mevcut kan basıncı düşük-normal düzeyde olduğundan baş dönmesi, presenkop, ortostatik yakınma veya böbrek fonksiyonunda değişiklik gelişirse tedavi yeniden değerlendirilmelidir (Isselbacher et al., 2022; McEvoy et al., 2024).</w:t>
      </w:r>
    </w:p>
    <w:p>
      <w:pPr>
        <w:pStyle w:val="BodyText"/>
      </w:pPr>
      <w:r>
        <w:t xml:space="preserve">Rezidüel patent Tip B diseksiyon flebi nedeniyle medikal kontrol, anatomik izlemin yerine geçmez. İhraç kaydında 05.05.2026 tarihli aort kontrol BT anjiyografisinde operasyon yatağının stabil olduğu, rezidüel kronik diseksiyonun inen aorta ve iliaklara devam ettiği ve abdominal aortun 38 mm olduğu belirtilmiştir. Bu nedenle görüntüleme zamanlaması kalp-damar cerrahisi/aort ekibi tarafından önceki çaplar ve morfolojik değişim ile birlikte planlanmalıdır (Isselbacher et al., 2022).</w:t>
      </w:r>
    </w:p>
    <w:bookmarkEnd w:id="11"/>
    <w:bookmarkStart w:id="12" w:name="Xfd47243a9e2ddf0cc0085ae0973eb246d3b6981"/>
    <w:p>
      <w:pPr>
        <w:pStyle w:val="Heading3"/>
      </w:pPr>
      <w:r>
        <w:t xml:space="preserve">3.2 INR 1,95: mekanik aort kapağı antikoagülasyonu</w:t>
      </w:r>
    </w:p>
    <w:p>
      <w:pPr>
        <w:pStyle w:val="FirstParagraph"/>
      </w:pPr>
      <w:r>
        <w:t xml:space="preserve">25 mm Carbomedics mekanik aort kapağı bulunan bir hastada yaşam boyu vitamin K antagonisti tedavisi temel tedavidir. 2025 ESC/EACTS kılavuzu, ek protrombotik risk faktörü olmayan bileaflet veya güncel nesil tek yapraklı mekanik aort kapağı için hedef INR 2,5 ve terapötik aralık 2,0–3,0 olarak verir (Praz et al., 2025).</w:t>
      </w:r>
    </w:p>
    <w:p>
      <w:pPr>
        <w:pStyle w:val="BodyText"/>
      </w:pPr>
      <w:r>
        <w:t xml:space="preserve">15.09.2026 saat 15:27 Test #93'te INR 1,95 bulunması bu klinik aralığın 0,05 birim altındadır. Bir önceki 10.09.2026 INR değeri 2,12 olduğundan mutlak değişim −0,17, yüzdesel değişim yaklaşık −8,0%'dir. Daha önce 23.07–11.08 döneminde INR 1,79'dan 1,17'ye kadar düşmüş, ardından 18.08–02.09 döneminde 2,59–2,76 seviyelerine yükselmiş ve 10.09.2026'da 2,12 olmuştur. Bu dalgalanma antikoagülasyon yönetiminde yakın INR izleminin önemini destekler.</w:t>
      </w:r>
    </w:p>
    <w:p>
      <w:pPr>
        <w:pStyle w:val="BodyText"/>
      </w:pPr>
      <w:r>
        <w:t xml:space="preserve">Bu sonuç, tek başına kapak trombozunun kanıtı değildir; aynı şekilde tek bir INR değerinden klinik emboli oluştuğu da söylenemez. Buna rağmen mekanik kapak ve mevcut 1,95 INR nedeniyle sorumlu antikoagülasyon ekibinin gecikmeden doz uyumu, son doz zamanı, beslenme ve vitamin K değişiklikleri, yeni ilaçlar, antibiyotik kürü, kanama bulguları ve takip INR zamanlamasını gözden geçirmesi gerekir (Praz et al., 2025). Bu rapor, 20 mg/hafta mevcut warfarin şemasının hekim gözetiminde yeniden titre edilmesi gerektiğini teyit eder; 22,5–25 mg/hafta aralığı ancak önceki yanıtlar, aktif etkileşimler ve kısa aralıklı INR izlemi dikkate alınarak klinisyen tarafından aday doz olarak değerlendirilebilir.</w:t>
      </w:r>
    </w:p>
    <w:p>
      <w:pPr>
        <w:pStyle w:val="BodyText"/>
      </w:pPr>
      <w:r>
        <w:t xml:space="preserve">Klamoks kürü 04.09.2026–11.09.2026 arasında kullanılmış ve son doz 11.09.2026'da tamamlanmıştır. Beta-laktam antibiyotikler ve bazı diğer antibiyotikler warfarin etkisini değiştirebildiğinden tedavi sırasında ve sonrasında INR değişkenliği açısından ek takip gerekir. Son INR'nin antibiyotik bitiminden yaklaşık dört gün sonra 1,95'e düşmesi, yalnızca antibiyotik etkileşimi üzerinden nedensellik kurulmasına izin vermez; klinik doz geçmişi ve beslenme daha belirleyicidir (Praz et al., 2025).</w:t>
      </w:r>
    </w:p>
    <w:bookmarkEnd w:id="12"/>
    <w:bookmarkStart w:id="13" w:name="Xd885aa520283d1e0c8fccd038bf493e4627cf45"/>
    <w:p>
      <w:pPr>
        <w:pStyle w:val="Heading3"/>
      </w:pPr>
      <w:r>
        <w:t xml:space="preserve">3.3 Ferro Sanol Duodenal: demir emilimi ve farmakokinetik değerlendirme</w:t>
      </w:r>
    </w:p>
    <w:p>
      <w:pPr>
        <w:pStyle w:val="FirstParagraph"/>
      </w:pPr>
      <w:r>
        <w:t xml:space="preserve">08.09.2026 laboratuvarında hemoglobin 9,7 g/dL, MCV 76,4 fL, ferritin 19 µg/L ve serum demiri 15 µg/dL bulunması mutlak demir eksikliği ile uyumlu mikrositik anemi paternidir. UIBC 326,8 µg/dL ile hesaplanan transferrin satürasyonu yaklaşık %4,4'tür. B12 638 pg/mL ve folat 4,76 ng/mL olması megaloblastik eksiklik yönünde belirgin destek vermemektedir (Camaschella, 2015; Snook et al., 2021).</w:t>
      </w:r>
    </w:p>
    <w:p>
      <w:pPr>
        <w:pStyle w:val="BodyText"/>
      </w:pPr>
      <w:r>
        <w:t xml:space="preserve">Ferro Sanol Duodenal kaydında bir kapsül 100 mg Fe²⁺ eşdeğeri ferrous glycine sulfate olarak yer almaktadır. Ürün bilgisine göre preparat gastrorezistan kapsül ve bağırsakta çözünen mikropellet yapısındadır; ürün-spesifik formülasyon ve kullanım ayrıntıları için güncel KÜB esas alınmalıdır. Demir emiliminin önemli bölümü duodenum ve proksimal ince bağırsakta gerçekleşir; demir eksikliğinde hepcidin düzeylerinin düşük olması oral demir emilimini kolaylaştırabilir (Camaschella, 2015).</w:t>
      </w:r>
    </w:p>
    <w:p>
      <w:pPr>
        <w:pStyle w:val="BodyText"/>
      </w:pPr>
      <w:r>
        <w:t xml:space="preserve">Mevcut uygulama protokolü korunmalıdır:</w:t>
      </w:r>
      <w:r>
        <w:t xml:space="preserve"> </w:t>
      </w:r>
      <w:r>
        <w:rPr>
          <w:b/>
          <w:bCs/>
        </w:rPr>
        <w:t xml:space="preserve">sabah aç karnına Ferro Sanol Duodenal 100 mg Fe²⁺, bol su ile; Pantoprazol 40 mg'dan en az 1 saat önce.</w:t>
      </w:r>
      <w:r>
        <w:t xml:space="preserve"> </w:t>
      </w:r>
      <w:r>
        <w:t xml:space="preserve">Bu 1 saatlik ayrım mevcut klinik panelin ilaç uygulama protokolüdür. Pantoprazol gibi proton pompa inhibitörleri gastrik asiditeyi azaltarak bazı oral demir preparatlarının çözünürlüğünü ve emilimini azaltabilir; bu nedenle oral demir ile proton pompa inhibitörü arasında zamanlama ayrımı ve klinik yanıta göre tekrar laboratuvar değerlendirmesi rasyoneldir, ancak tek başına 1 saatlik ayrım optimum biyoyararlanımı garanti eden evrensel bir farmakokinetik kural olarak yorumlanmamalıdır (Camaschella, 2015; Snook et al., 2021).</w:t>
      </w:r>
    </w:p>
    <w:p>
      <w:pPr>
        <w:pStyle w:val="BodyText"/>
      </w:pPr>
      <w:r>
        <w:t xml:space="preserve">Oral demir tedavisi başladıktan sonra hemoglobin yanıtı, retikülosit yanıtı, ferritin ve transferrin satürasyonu izlenmelidir. Yanıt yetersizse uyum, gastrointestinal tolerans, devam eden kan kaybı, emilim bozukluğu ve gereğinde intravenöz demir seçenekleri değerlendirilir (Snook et al., 2021). Bu hastada erkek cinsiyet ve mekanik kapak nedeniyle uzun süreli antitrombotik tedavi bulunduğu için gizli gastrointestinal kan kaybı olasılığının ayrıca araştırılması önemlidir; sadece demir verilmesi etiyolojik değerlendirme yerine geçmez (Snook et al., 2021).</w:t>
      </w:r>
    </w:p>
    <w:bookmarkEnd w:id="13"/>
    <w:bookmarkStart w:id="14" w:name="X33c94b4dab504423be48a49d4704ece0ec66fb3"/>
    <w:p>
      <w:pPr>
        <w:pStyle w:val="Heading3"/>
      </w:pPr>
      <w:r>
        <w:t xml:space="preserve">3.4 PPI–demir etkileşimi</w:t>
      </w:r>
    </w:p>
    <w:p>
      <w:pPr>
        <w:pStyle w:val="FirstParagraph"/>
      </w:pPr>
      <w:r>
        <w:t xml:space="preserve">Pantoprazolün temel farmakodinamik etkisi gastrik proton pompası inhibisyonudur. Bu nedenle demir preparatının aç karnına alınması ve Panto'nun en az bir saat sonra verilmesi, mevcut ilaç kullanım protokolünün emilim açısından optimize edilmesine yönelik pratik bir düzenlemedir (Camaschella, 2015; Snook et al., 2021).</w:t>
      </w:r>
    </w:p>
    <w:p>
      <w:pPr>
        <w:pStyle w:val="BodyText"/>
      </w:pPr>
      <w:r>
        <w:t xml:space="preserve">İlaçların birlikte verilmesi tek başına demir tedavisini etkisiz ilan etmeyi gerektirmez. Tedavinin etkinliği laboratuvar yanıtı ile ölçülmelidir. Özellikle ilk kontrolte hemoglobin yükselmesi ve daha sonraki dönemde ferritin depolarının toparlanması beklenir; yanıt alınmazsa PPI gerekliliği, doz zamanı ve intravenöz demir seçenekleri hekim tarafından gözden geçirilmelidir (Snook et al., 2021).</w:t>
      </w:r>
    </w:p>
    <w:bookmarkEnd w:id="14"/>
    <w:bookmarkStart w:id="15" w:name="Xd980f2f8a5addc363babafb5250cdf96a2f5d34"/>
    <w:p>
      <w:pPr>
        <w:pStyle w:val="Heading3"/>
      </w:pPr>
      <w:r>
        <w:t xml:space="preserve">3.5 Sternal yara ve inflamasyon remisyonu</w:t>
      </w:r>
    </w:p>
    <w:p>
      <w:pPr>
        <w:pStyle w:val="FirstParagraph"/>
      </w:pPr>
      <w:r>
        <w:t xml:space="preserve">CRP 08.09.2026'da 11,3 mg/L iken 15.09.2026'da 5,7 mg/L'ye gerilemiştir. Bu yaklaşık %49,6 azalmadır. WBC 7,97 × 10</w:t>
      </w:r>
      <w:r>
        <w:t xml:space="preserve">9</w:t>
      </w:r>
      <w:r>
        <w:t xml:space="preserve">/L'den 9,01 × 10</w:t>
      </w:r>
      <w:r>
        <w:t xml:space="preserve">9</w:t>
      </w:r>
      <w:r>
        <w:t xml:space="preserve">/L'ye yükselmiş olmakla birlikte laboratuvar aralığı içinde kalmıştır. Veriler sistemik inflamasyon yükünde belirgin azalma eğilimi ile uyumludur; ancak CRP'nin düşmesi sternal enfeksiyonun veya protez kapak endokarditinin mikrobiyolojik olarak eradike edildiğini kanıtlamaz (Delgado et al., 2023).</w:t>
      </w:r>
    </w:p>
    <w:p>
      <w:pPr>
        <w:pStyle w:val="BodyText"/>
      </w:pPr>
      <w:r>
        <w:t xml:space="preserve">Veri setinde Temmuz sonu sternal dehissens, doku defekti, sütürasyon ve antibiyotik tedavisi kaydı vardır. 15.09.2026 itibarıyla veri tabanında pozitif kan kültürü, protez kapak vegetasyonu, paravalvüler apse veya TEE ile doğrulanmış protez kapak endokarditi bulgusu görünmemektedir. Açıklanamayan ateş, titreme, yeni veya değişmiş kapak sesi, embolik nörolojik bulgu, yeni yara akıntısı veya CRP tekrar yükselmesi durumunda kan kültürleri ve transtorasik/transözofageal ekokardiyografi klinik bağlamda değerlendirilmelidir (Delgado et al., 2023).</w:t>
      </w:r>
    </w:p>
    <w:bookmarkEnd w:id="15"/>
    <w:bookmarkEnd w:id="16"/>
    <w:bookmarkStart w:id="17" w:name="X3493f8353031789a5fa779c118d30eae71c638a"/>
    <w:p>
      <w:pPr>
        <w:pStyle w:val="Heading2"/>
      </w:pPr>
      <w:r>
        <w:t xml:space="preserve">4. 32 Parametreli Tümleşik Master Tablo</w:t>
      </w:r>
    </w:p>
    <w:p>
      <w:pPr>
        <w:pStyle w:val="FirstParagraph"/>
      </w:pPr>
      <w:r>
        <w:rPr>
          <w:b/>
          <w:bCs/>
        </w:rPr>
        <w:t xml:space="preserve">Tablo okuma kuralı:</w:t>
      </w:r>
      <w:r>
        <w:t xml:space="preserve"> </w:t>
      </w:r>
      <w:r>
        <w:t xml:space="preserve">“Sonuç / tarih” sütunu, ham veri kaynağındaki son ölçümü gösterir. INR, PT, PT%, aPTT ve diğer Test #93 parametreleri 15.09.2026 Test #93'e aittir. Ferritin, demir, UIBC ve B12 için veri tabanındaki son ölçüm 08.09.2026 Test #90'dır. eGFR, 15.09.2026 kreatininine dayalı dışa aktarılmış türetilmiş değerdir. Yüzdesel delta, varsa bir önceki zaman damgalı aynı kod ile hesaplanmıştır.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Parametre / Kod</w:t>
            </w:r>
          </w:p>
        </w:tc>
        <w:tc>
          <w:tcPr/>
          <w:p>
            <w:pPr>
              <w:pStyle w:val="Compact"/>
              <w:jc w:val="right"/>
            </w:pPr>
            <w:r>
              <w:t xml:space="preserve">Sonuç / tarih</w:t>
            </w:r>
          </w:p>
        </w:tc>
        <w:tc>
          <w:tcPr/>
          <w:p>
            <w:pPr>
              <w:pStyle w:val="Compact"/>
            </w:pPr>
            <w:r>
              <w:t xml:space="preserve">Referans</w:t>
            </w:r>
          </w:p>
        </w:tc>
        <w:tc>
          <w:tcPr/>
          <w:p>
            <w:pPr>
              <w:pStyle w:val="Compact"/>
              <w:jc w:val="right"/>
            </w:pPr>
            <w:r>
              <w:t xml:space="preserve">% Delta</w:t>
            </w:r>
          </w:p>
        </w:tc>
        <w:tc>
          <w:tcPr/>
          <w:p>
            <w:pPr>
              <w:pStyle w:val="Compact"/>
            </w:pPr>
            <w:r>
              <w:t xml:space="preserve">Durum</w:t>
            </w:r>
          </w:p>
        </w:tc>
        <w:tc>
          <w:tcPr/>
          <w:p>
            <w:pPr>
              <w:pStyle w:val="Compact"/>
            </w:pPr>
            <w:r>
              <w:t xml:space="preserve">Kılavuz / Kanıt</w:t>
            </w:r>
          </w:p>
        </w:tc>
      </w:tr>
      <w:tr>
        <w:tc>
          <w:tcPr/>
          <w:p>
            <w:pPr>
              <w:pStyle w:val="Compact"/>
            </w:pPr>
            <w:r>
              <w:rPr>
                <w:b/>
                <w:bCs/>
              </w:rPr>
              <w:t xml:space="preserve">INR</w:t>
            </w:r>
          </w:p>
        </w:tc>
        <w:tc>
          <w:tcPr/>
          <w:p>
            <w:pPr>
              <w:pStyle w:val="Compact"/>
              <w:jc w:val="right"/>
            </w:pPr>
            <w:r>
              <w:t xml:space="preserve">1.95 INR / 15.09.2026</w:t>
            </w:r>
          </w:p>
        </w:tc>
        <w:tc>
          <w:tcPr/>
          <w:p>
            <w:pPr>
              <w:pStyle w:val="Compact"/>
            </w:pPr>
            <w:r>
              <w:t xml:space="preserve">0.8–1.2 INR</w:t>
            </w:r>
          </w:p>
        </w:tc>
        <w:tc>
          <w:tcPr/>
          <w:p>
            <w:pPr>
              <w:pStyle w:val="Compact"/>
              <w:jc w:val="right"/>
            </w:pPr>
            <w:r>
              <w:t xml:space="preserve">-8.0%</w:t>
            </w:r>
          </w:p>
        </w:tc>
        <w:tc>
          <w:tcPr/>
          <w:p>
            <w:pPr>
              <w:pStyle w:val="Compact"/>
            </w:pPr>
            <w:r>
              <w:rPr>
                <w:b/>
                <w:bCs/>
              </w:rPr>
              <w:t xml:space="preserve">HEDEF ALTI</w:t>
            </w:r>
          </w:p>
        </w:tc>
        <w:tc>
          <w:tcPr/>
          <w:p>
            <w:pPr>
              <w:pStyle w:val="Compact"/>
            </w:pPr>
            <w:r>
              <w:t xml:space="preserve">Praz et al., 2025</w:t>
            </w:r>
          </w:p>
        </w:tc>
      </w:tr>
      <w:tr>
        <w:tc>
          <w:tcPr/>
          <w:p>
            <w:pPr>
              <w:pStyle w:val="Compact"/>
            </w:pPr>
            <w:r>
              <w:rPr>
                <w:b/>
                <w:bCs/>
              </w:rPr>
              <w:t xml:space="preserve">PT</w:t>
            </w:r>
          </w:p>
        </w:tc>
        <w:tc>
          <w:tcPr/>
          <w:p>
            <w:pPr>
              <w:pStyle w:val="Compact"/>
              <w:jc w:val="right"/>
            </w:pPr>
            <w:r>
              <w:t xml:space="preserve">18.4 sn / 15.09.2026</w:t>
            </w:r>
          </w:p>
        </w:tc>
        <w:tc>
          <w:tcPr/>
          <w:p>
            <w:pPr>
              <w:pStyle w:val="Compact"/>
            </w:pPr>
            <w:r>
              <w:t xml:space="preserve">9.6–12 sn</w:t>
            </w:r>
          </w:p>
        </w:tc>
        <w:tc>
          <w:tcPr/>
          <w:p>
            <w:pPr>
              <w:pStyle w:val="Compact"/>
              <w:jc w:val="right"/>
            </w:pPr>
            <w:r>
              <w:t xml:space="preserve">-7.1%</w:t>
            </w:r>
          </w:p>
        </w:tc>
        <w:tc>
          <w:tcPr/>
          <w:p>
            <w:pPr>
              <w:pStyle w:val="Compact"/>
            </w:pPr>
            <w:r>
              <w:rPr>
                <w:b/>
                <w:bCs/>
              </w:rPr>
              <w:t xml:space="preserve">YÜKSEK</w:t>
            </w:r>
          </w:p>
        </w:tc>
        <w:tc>
          <w:tcPr/>
          <w:p>
            <w:pPr>
              <w:pStyle w:val="Compact"/>
            </w:pPr>
            <w:r>
              <w:t xml:space="preserve">Praz et al., 2025</w:t>
            </w:r>
          </w:p>
        </w:tc>
      </w:tr>
      <w:tr>
        <w:tc>
          <w:tcPr/>
          <w:p>
            <w:pPr>
              <w:pStyle w:val="Compact"/>
            </w:pPr>
            <w:r>
              <w:rPr>
                <w:b/>
                <w:bCs/>
              </w:rPr>
              <w:t xml:space="preserve">PT%</w:t>
            </w:r>
          </w:p>
        </w:tc>
        <w:tc>
          <w:tcPr/>
          <w:p>
            <w:pPr>
              <w:pStyle w:val="Compact"/>
              <w:jc w:val="right"/>
            </w:pPr>
            <w:r>
              <w:t xml:space="preserve">46.3 % / 15.09.2026</w:t>
            </w:r>
          </w:p>
        </w:tc>
        <w:tc>
          <w:tcPr/>
          <w:p>
            <w:pPr>
              <w:pStyle w:val="Compact"/>
            </w:pPr>
            <w:r>
              <w:t xml:space="preserve">74.4–130 %</w:t>
            </w:r>
          </w:p>
        </w:tc>
        <w:tc>
          <w:tcPr/>
          <w:p>
            <w:pPr>
              <w:pStyle w:val="Compact"/>
              <w:jc w:val="right"/>
            </w:pPr>
            <w:r>
              <w:t xml:space="preserve">+11.0%</w:t>
            </w:r>
          </w:p>
        </w:tc>
        <w:tc>
          <w:tcPr/>
          <w:p>
            <w:pPr>
              <w:pStyle w:val="Compact"/>
            </w:pPr>
            <w:r>
              <w:rPr>
                <w:b/>
                <w:bCs/>
              </w:rPr>
              <w:t xml:space="preserve">DÜŞÜK</w:t>
            </w:r>
          </w:p>
        </w:tc>
        <w:tc>
          <w:tcPr/>
          <w:p>
            <w:pPr>
              <w:pStyle w:val="Compact"/>
            </w:pPr>
            <w:r>
              <w:t xml:space="preserve">Praz et al., 2025</w:t>
            </w:r>
          </w:p>
        </w:tc>
      </w:tr>
      <w:tr>
        <w:tc>
          <w:tcPr/>
          <w:p>
            <w:pPr>
              <w:pStyle w:val="Compact"/>
            </w:pPr>
            <w:r>
              <w:rPr>
                <w:b/>
                <w:bCs/>
              </w:rPr>
              <w:t xml:space="preserve">APTT</w:t>
            </w:r>
          </w:p>
        </w:tc>
        <w:tc>
          <w:tcPr/>
          <w:p>
            <w:pPr>
              <w:pStyle w:val="Compact"/>
              <w:jc w:val="right"/>
            </w:pPr>
            <w:r>
              <w:t xml:space="preserve">44.4 sn / 15.09.2026</w:t>
            </w:r>
          </w:p>
        </w:tc>
        <w:tc>
          <w:tcPr/>
          <w:p>
            <w:pPr>
              <w:pStyle w:val="Compact"/>
            </w:pPr>
            <w:r>
              <w:t xml:space="preserve">23.9–33.2 sn</w:t>
            </w:r>
          </w:p>
        </w:tc>
        <w:tc>
          <w:tcPr/>
          <w:p>
            <w:pPr>
              <w:pStyle w:val="Compact"/>
              <w:jc w:val="right"/>
            </w:pPr>
            <w:r>
              <w:t xml:space="preserve">-0.9%</w:t>
            </w:r>
          </w:p>
        </w:tc>
        <w:tc>
          <w:tcPr/>
          <w:p>
            <w:pPr>
              <w:pStyle w:val="Compact"/>
            </w:pPr>
            <w:r>
              <w:rPr>
                <w:b/>
                <w:bCs/>
              </w:rPr>
              <w:t xml:space="preserve">YÜKSEK</w:t>
            </w:r>
          </w:p>
        </w:tc>
        <w:tc>
          <w:tcPr/>
          <w:p>
            <w:pPr>
              <w:pStyle w:val="Compact"/>
            </w:pPr>
            <w:r>
              <w:t xml:space="preserve">Praz et al., 2025</w:t>
            </w:r>
          </w:p>
        </w:tc>
      </w:tr>
      <w:tr>
        <w:tc>
          <w:tcPr/>
          <w:p>
            <w:pPr>
              <w:pStyle w:val="Compact"/>
            </w:pPr>
            <w:r>
              <w:rPr>
                <w:b/>
                <w:bCs/>
              </w:rPr>
              <w:t xml:space="preserve">CRP</w:t>
            </w:r>
          </w:p>
        </w:tc>
        <w:tc>
          <w:tcPr/>
          <w:p>
            <w:pPr>
              <w:pStyle w:val="Compact"/>
              <w:jc w:val="right"/>
            </w:pPr>
            <w:r>
              <w:t xml:space="preserve">5.7 mg/L / 15.09.2026</w:t>
            </w:r>
          </w:p>
        </w:tc>
        <w:tc>
          <w:tcPr/>
          <w:p>
            <w:pPr>
              <w:pStyle w:val="Compact"/>
            </w:pPr>
            <w:r>
              <w:t xml:space="preserve">0–5 mg/L</w:t>
            </w:r>
          </w:p>
        </w:tc>
        <w:tc>
          <w:tcPr/>
          <w:p>
            <w:pPr>
              <w:pStyle w:val="Compact"/>
              <w:jc w:val="right"/>
            </w:pPr>
            <w:r>
              <w:t xml:space="preserve">-49.6%</w:t>
            </w:r>
          </w:p>
        </w:tc>
        <w:tc>
          <w:tcPr/>
          <w:p>
            <w:pPr>
              <w:pStyle w:val="Compact"/>
            </w:pPr>
            <w:r>
              <w:rPr>
                <w:b/>
                <w:bCs/>
              </w:rPr>
              <w:t xml:space="preserve">SINIR ÜSTÜ</w:t>
            </w:r>
          </w:p>
        </w:tc>
        <w:tc>
          <w:tcPr/>
          <w:p>
            <w:pPr>
              <w:pStyle w:val="Compact"/>
            </w:pPr>
            <w:r>
              <w:t xml:space="preserve">Delgado et al., 2023</w:t>
            </w:r>
          </w:p>
        </w:tc>
      </w:tr>
      <w:tr>
        <w:tc>
          <w:tcPr/>
          <w:p>
            <w:pPr>
              <w:pStyle w:val="Compact"/>
            </w:pPr>
            <w:r>
              <w:rPr>
                <w:b/>
                <w:bCs/>
              </w:rPr>
              <w:t xml:space="preserve">WBC</w:t>
            </w:r>
          </w:p>
        </w:tc>
        <w:tc>
          <w:tcPr/>
          <w:p>
            <w:pPr>
              <w:pStyle w:val="Compact"/>
              <w:jc w:val="right"/>
            </w:pPr>
            <w:r>
              <w:t xml:space="preserve">9.01 10^9/L / 15.09.2026</w:t>
            </w:r>
          </w:p>
        </w:tc>
        <w:tc>
          <w:tcPr/>
          <w:p>
            <w:pPr>
              <w:pStyle w:val="Compact"/>
            </w:pPr>
            <w:r>
              <w:t xml:space="preserve">4.01–9.75 10^9/L</w:t>
            </w:r>
          </w:p>
        </w:tc>
        <w:tc>
          <w:tcPr/>
          <w:p>
            <w:pPr>
              <w:pStyle w:val="Compact"/>
              <w:jc w:val="right"/>
            </w:pPr>
            <w:r>
              <w:t xml:space="preserve">+13.0%</w:t>
            </w:r>
          </w:p>
        </w:tc>
        <w:tc>
          <w:tcPr/>
          <w:p>
            <w:pPr>
              <w:pStyle w:val="Compact"/>
            </w:pPr>
            <w:r>
              <w:rPr>
                <w:b/>
                <w:bCs/>
              </w:rPr>
              <w:t xml:space="preserve">NORMAL</w:t>
            </w:r>
          </w:p>
        </w:tc>
        <w:tc>
          <w:tcPr/>
          <w:p>
            <w:pPr>
              <w:pStyle w:val="Compact"/>
            </w:pPr>
            <w:r>
              <w:t xml:space="preserve">Delgado et al., 2023</w:t>
            </w:r>
          </w:p>
        </w:tc>
      </w:tr>
      <w:tr>
        <w:tc>
          <w:tcPr/>
          <w:p>
            <w:pPr>
              <w:pStyle w:val="Compact"/>
            </w:pPr>
            <w:r>
              <w:rPr>
                <w:b/>
                <w:bCs/>
              </w:rPr>
              <w:t xml:space="preserve">LYM#</w:t>
            </w:r>
          </w:p>
        </w:tc>
        <w:tc>
          <w:tcPr/>
          <w:p>
            <w:pPr>
              <w:pStyle w:val="Compact"/>
              <w:jc w:val="right"/>
            </w:pPr>
            <w:r>
              <w:t xml:space="preserve">3.88 10^9/L / 15.09.2026</w:t>
            </w:r>
          </w:p>
        </w:tc>
        <w:tc>
          <w:tcPr/>
          <w:p>
            <w:pPr>
              <w:pStyle w:val="Compact"/>
            </w:pPr>
            <w:r>
              <w:t xml:space="preserve">1.15–3.43 10^9/L</w:t>
            </w:r>
          </w:p>
        </w:tc>
        <w:tc>
          <w:tcPr/>
          <w:p>
            <w:pPr>
              <w:pStyle w:val="Compact"/>
              <w:jc w:val="right"/>
            </w:pPr>
            <w:r>
              <w:t xml:space="preserve">+24.4%</w:t>
            </w:r>
          </w:p>
        </w:tc>
        <w:tc>
          <w:tcPr/>
          <w:p>
            <w:pPr>
              <w:pStyle w:val="Compact"/>
            </w:pPr>
            <w:r>
              <w:rPr>
                <w:b/>
                <w:bCs/>
              </w:rPr>
              <w:t xml:space="preserve">YÜKSEK</w:t>
            </w:r>
          </w:p>
        </w:tc>
        <w:tc>
          <w:tcPr/>
          <w:p>
            <w:pPr>
              <w:pStyle w:val="Compact"/>
            </w:pPr>
            <w:r>
              <w:t xml:space="preserve">Delgado et al., 2023</w:t>
            </w:r>
          </w:p>
        </w:tc>
      </w:tr>
      <w:tr>
        <w:tc>
          <w:tcPr/>
          <w:p>
            <w:pPr>
              <w:pStyle w:val="Compact"/>
            </w:pPr>
            <w:r>
              <w:rPr>
                <w:b/>
                <w:bCs/>
              </w:rPr>
              <w:t xml:space="preserve">LYM%</w:t>
            </w:r>
          </w:p>
        </w:tc>
        <w:tc>
          <w:tcPr/>
          <w:p>
            <w:pPr>
              <w:pStyle w:val="Compact"/>
              <w:jc w:val="right"/>
            </w:pPr>
            <w:r>
              <w:t xml:space="preserve">43.1 % / 15.09.2026</w:t>
            </w:r>
          </w:p>
        </w:tc>
        <w:tc>
          <w:tcPr/>
          <w:p>
            <w:pPr>
              <w:pStyle w:val="Compact"/>
            </w:pPr>
            <w:r>
              <w:t xml:space="preserve">19–48.9 %</w:t>
            </w:r>
          </w:p>
        </w:tc>
        <w:tc>
          <w:tcPr/>
          <w:p>
            <w:pPr>
              <w:pStyle w:val="Compact"/>
              <w:jc w:val="right"/>
            </w:pPr>
            <w:r>
              <w:t xml:space="preserve">+9.9%</w:t>
            </w:r>
          </w:p>
        </w:tc>
        <w:tc>
          <w:tcPr/>
          <w:p>
            <w:pPr>
              <w:pStyle w:val="Compact"/>
            </w:pPr>
            <w:r>
              <w:rPr>
                <w:b/>
                <w:bCs/>
              </w:rPr>
              <w:t xml:space="preserve">NORMAL</w:t>
            </w:r>
          </w:p>
        </w:tc>
        <w:tc>
          <w:tcPr/>
          <w:p>
            <w:pPr>
              <w:pStyle w:val="Compact"/>
            </w:pPr>
            <w:r>
              <w:t xml:space="preserve">Delgado et al., 2023</w:t>
            </w:r>
          </w:p>
        </w:tc>
      </w:tr>
      <w:tr>
        <w:tc>
          <w:tcPr/>
          <w:p>
            <w:pPr>
              <w:pStyle w:val="Compact"/>
            </w:pPr>
            <w:r>
              <w:rPr>
                <w:b/>
                <w:bCs/>
              </w:rPr>
              <w:t xml:space="preserve">NEU#</w:t>
            </w:r>
          </w:p>
        </w:tc>
        <w:tc>
          <w:tcPr/>
          <w:p>
            <w:pPr>
              <w:pStyle w:val="Compact"/>
              <w:jc w:val="right"/>
            </w:pPr>
            <w:r>
              <w:t xml:space="preserve">4.52 10^9/L / 15.09.2026</w:t>
            </w:r>
          </w:p>
        </w:tc>
        <w:tc>
          <w:tcPr/>
          <w:p>
            <w:pPr>
              <w:pStyle w:val="Compact"/>
            </w:pPr>
            <w:r>
              <w:t xml:space="preserve">1.92–6.44 10^9/L</w:t>
            </w:r>
          </w:p>
        </w:tc>
        <w:tc>
          <w:tcPr/>
          <w:p>
            <w:pPr>
              <w:pStyle w:val="Compact"/>
              <w:jc w:val="right"/>
            </w:pPr>
            <w:r>
              <w:t xml:space="preserve">+6.1%</w:t>
            </w:r>
          </w:p>
        </w:tc>
        <w:tc>
          <w:tcPr/>
          <w:p>
            <w:pPr>
              <w:pStyle w:val="Compact"/>
            </w:pPr>
            <w:r>
              <w:rPr>
                <w:b/>
                <w:bCs/>
              </w:rPr>
              <w:t xml:space="preserve">NORMAL</w:t>
            </w:r>
          </w:p>
        </w:tc>
        <w:tc>
          <w:tcPr/>
          <w:p>
            <w:pPr>
              <w:pStyle w:val="Compact"/>
            </w:pPr>
            <w:r>
              <w:t xml:space="preserve">Delgado et al., 2023</w:t>
            </w:r>
          </w:p>
        </w:tc>
      </w:tr>
      <w:tr>
        <w:tc>
          <w:tcPr/>
          <w:p>
            <w:pPr>
              <w:pStyle w:val="Compact"/>
            </w:pPr>
            <w:r>
              <w:rPr>
                <w:b/>
                <w:bCs/>
              </w:rPr>
              <w:t xml:space="preserve">NEU%</w:t>
            </w:r>
          </w:p>
        </w:tc>
        <w:tc>
          <w:tcPr/>
          <w:p>
            <w:pPr>
              <w:pStyle w:val="Compact"/>
              <w:jc w:val="right"/>
            </w:pPr>
            <w:r>
              <w:t xml:space="preserve">50.1 % / 15.09.2026</w:t>
            </w:r>
          </w:p>
        </w:tc>
        <w:tc>
          <w:tcPr/>
          <w:p>
            <w:pPr>
              <w:pStyle w:val="Compact"/>
            </w:pPr>
            <w:r>
              <w:t xml:space="preserve">41.2–73.5 %</w:t>
            </w:r>
          </w:p>
        </w:tc>
        <w:tc>
          <w:tcPr/>
          <w:p>
            <w:pPr>
              <w:pStyle w:val="Compact"/>
              <w:jc w:val="right"/>
            </w:pPr>
            <w:r>
              <w:t xml:space="preserve">-6.4%</w:t>
            </w:r>
          </w:p>
        </w:tc>
        <w:tc>
          <w:tcPr/>
          <w:p>
            <w:pPr>
              <w:pStyle w:val="Compact"/>
            </w:pPr>
            <w:r>
              <w:rPr>
                <w:b/>
                <w:bCs/>
              </w:rPr>
              <w:t xml:space="preserve">NORMAL</w:t>
            </w:r>
          </w:p>
        </w:tc>
        <w:tc>
          <w:tcPr/>
          <w:p>
            <w:pPr>
              <w:pStyle w:val="Compact"/>
            </w:pPr>
            <w:r>
              <w:t xml:space="preserve">Delgado et al., 2023</w:t>
            </w:r>
          </w:p>
        </w:tc>
      </w:tr>
      <w:tr>
        <w:tc>
          <w:tcPr/>
          <w:p>
            <w:pPr>
              <w:pStyle w:val="Compact"/>
            </w:pPr>
            <w:r>
              <w:rPr>
                <w:b/>
                <w:bCs/>
              </w:rPr>
              <w:t xml:space="preserve">NLR</w:t>
            </w:r>
          </w:p>
        </w:tc>
        <w:tc>
          <w:tcPr/>
          <w:p>
            <w:pPr>
              <w:pStyle w:val="Compact"/>
              <w:jc w:val="right"/>
            </w:pPr>
            <w:r>
              <w:t xml:space="preserve">1.16 - / 15.09.2026</w:t>
            </w:r>
          </w:p>
        </w:tc>
        <w:tc>
          <w:tcPr/>
          <w:p>
            <w:pPr>
              <w:pStyle w:val="Compact"/>
            </w:pPr>
            <w:r>
              <w:t xml:space="preserve">—</w:t>
            </w:r>
          </w:p>
        </w:tc>
        <w:tc>
          <w:tcPr/>
          <w:p>
            <w:pPr>
              <w:pStyle w:val="Compact"/>
              <w:jc w:val="right"/>
            </w:pPr>
            <w:r>
              <w:t xml:space="preserve">-14.7%</w:t>
            </w:r>
          </w:p>
        </w:tc>
        <w:tc>
          <w:tcPr/>
          <w:p>
            <w:pPr>
              <w:pStyle w:val="Compact"/>
            </w:pPr>
            <w:r>
              <w:rPr>
                <w:b/>
                <w:bCs/>
              </w:rPr>
              <w:t xml:space="preserve">YORUMSAL</w:t>
            </w:r>
          </w:p>
        </w:tc>
        <w:tc>
          <w:tcPr/>
          <w:p>
            <w:pPr>
              <w:pStyle w:val="Compact"/>
            </w:pPr>
            <w:r>
              <w:t xml:space="preserve">Delgado et al., 2023</w:t>
            </w:r>
          </w:p>
        </w:tc>
      </w:tr>
      <w:tr>
        <w:tc>
          <w:tcPr/>
          <w:p>
            <w:pPr>
              <w:pStyle w:val="Compact"/>
            </w:pPr>
            <w:r>
              <w:rPr>
                <w:b/>
                <w:bCs/>
              </w:rPr>
              <w:t xml:space="preserve">HGB</w:t>
            </w:r>
          </w:p>
        </w:tc>
        <w:tc>
          <w:tcPr/>
          <w:p>
            <w:pPr>
              <w:pStyle w:val="Compact"/>
              <w:jc w:val="right"/>
            </w:pPr>
            <w:r>
              <w:t xml:space="preserve">9.7 g/dL / 15.09.2026</w:t>
            </w:r>
          </w:p>
        </w:tc>
        <w:tc>
          <w:tcPr/>
          <w:p>
            <w:pPr>
              <w:pStyle w:val="Compact"/>
            </w:pPr>
            <w:r>
              <w:t xml:space="preserve">13.4–17.6 g/dL</w:t>
            </w:r>
          </w:p>
        </w:tc>
        <w:tc>
          <w:tcPr/>
          <w:p>
            <w:pPr>
              <w:pStyle w:val="Compact"/>
              <w:jc w:val="right"/>
            </w:pPr>
            <w:r>
              <w:t xml:space="preserve">+0.0%</w:t>
            </w:r>
          </w:p>
        </w:tc>
        <w:tc>
          <w:tcPr/>
          <w:p>
            <w:pPr>
              <w:pStyle w:val="Compact"/>
            </w:pPr>
            <w:r>
              <w:rPr>
                <w:b/>
                <w:bCs/>
              </w:rPr>
              <w:t xml:space="preserve">DÜŞÜK</w:t>
            </w:r>
          </w:p>
        </w:tc>
        <w:tc>
          <w:tcPr/>
          <w:p>
            <w:pPr>
              <w:pStyle w:val="Compact"/>
            </w:pPr>
            <w:r>
              <w:t xml:space="preserve">Snook et al., 2021</w:t>
            </w:r>
          </w:p>
        </w:tc>
      </w:tr>
      <w:tr>
        <w:tc>
          <w:tcPr/>
          <w:p>
            <w:pPr>
              <w:pStyle w:val="Compact"/>
            </w:pPr>
            <w:r>
              <w:rPr>
                <w:b/>
                <w:bCs/>
              </w:rPr>
              <w:t xml:space="preserve">HCT</w:t>
            </w:r>
          </w:p>
        </w:tc>
        <w:tc>
          <w:tcPr/>
          <w:p>
            <w:pPr>
              <w:pStyle w:val="Compact"/>
              <w:jc w:val="right"/>
            </w:pPr>
            <w:r>
              <w:t xml:space="preserve">30.1 % / 15.09.2026</w:t>
            </w:r>
          </w:p>
        </w:tc>
        <w:tc>
          <w:tcPr/>
          <w:p>
            <w:pPr>
              <w:pStyle w:val="Compact"/>
            </w:pPr>
            <w:r>
              <w:t xml:space="preserve">40.5–53.6 %</w:t>
            </w:r>
          </w:p>
        </w:tc>
        <w:tc>
          <w:tcPr/>
          <w:p>
            <w:pPr>
              <w:pStyle w:val="Compact"/>
              <w:jc w:val="right"/>
            </w:pPr>
            <w:r>
              <w:t xml:space="preserve">+1.3%</w:t>
            </w:r>
          </w:p>
        </w:tc>
        <w:tc>
          <w:tcPr/>
          <w:p>
            <w:pPr>
              <w:pStyle w:val="Compact"/>
            </w:pPr>
            <w:r>
              <w:rPr>
                <w:b/>
                <w:bCs/>
              </w:rPr>
              <w:t xml:space="preserve">DÜŞÜK</w:t>
            </w:r>
          </w:p>
        </w:tc>
        <w:tc>
          <w:tcPr/>
          <w:p>
            <w:pPr>
              <w:pStyle w:val="Compact"/>
            </w:pPr>
            <w:r>
              <w:t xml:space="preserve">Snook et al., 2021</w:t>
            </w:r>
          </w:p>
        </w:tc>
      </w:tr>
      <w:tr>
        <w:tc>
          <w:tcPr/>
          <w:p>
            <w:pPr>
              <w:pStyle w:val="Compact"/>
            </w:pPr>
            <w:r>
              <w:rPr>
                <w:b/>
                <w:bCs/>
              </w:rPr>
              <w:t xml:space="preserve">RBC</w:t>
            </w:r>
          </w:p>
        </w:tc>
        <w:tc>
          <w:tcPr/>
          <w:p>
            <w:pPr>
              <w:pStyle w:val="Compact"/>
              <w:jc w:val="right"/>
            </w:pPr>
            <w:r>
              <w:t xml:space="preserve">3.93 10^12/L / 15.09.2026</w:t>
            </w:r>
          </w:p>
        </w:tc>
        <w:tc>
          <w:tcPr/>
          <w:p>
            <w:pPr>
              <w:pStyle w:val="Compact"/>
            </w:pPr>
            <w:r>
              <w:t xml:space="preserve">4.36–6.12 10^12/L</w:t>
            </w:r>
          </w:p>
        </w:tc>
        <w:tc>
          <w:tcPr/>
          <w:p>
            <w:pPr>
              <w:pStyle w:val="Compact"/>
              <w:jc w:val="right"/>
            </w:pPr>
            <w:r>
              <w:t xml:space="preserve">+1.0%</w:t>
            </w:r>
          </w:p>
        </w:tc>
        <w:tc>
          <w:tcPr/>
          <w:p>
            <w:pPr>
              <w:pStyle w:val="Compact"/>
            </w:pPr>
            <w:r>
              <w:rPr>
                <w:b/>
                <w:bCs/>
              </w:rPr>
              <w:t xml:space="preserve">DÜŞÜK</w:t>
            </w:r>
          </w:p>
        </w:tc>
        <w:tc>
          <w:tcPr/>
          <w:p>
            <w:pPr>
              <w:pStyle w:val="Compact"/>
            </w:pPr>
            <w:r>
              <w:t xml:space="preserve">Snook et al., 2021</w:t>
            </w:r>
          </w:p>
        </w:tc>
      </w:tr>
      <w:tr>
        <w:tc>
          <w:tcPr/>
          <w:p>
            <w:pPr>
              <w:pStyle w:val="Compact"/>
            </w:pPr>
            <w:r>
              <w:rPr>
                <w:b/>
                <w:bCs/>
              </w:rPr>
              <w:t xml:space="preserve">MCV</w:t>
            </w:r>
          </w:p>
        </w:tc>
        <w:tc>
          <w:tcPr/>
          <w:p>
            <w:pPr>
              <w:pStyle w:val="Compact"/>
              <w:jc w:val="right"/>
            </w:pPr>
            <w:r>
              <w:t xml:space="preserve">76.7 fL / 15.09.2026</w:t>
            </w:r>
          </w:p>
        </w:tc>
        <w:tc>
          <w:tcPr/>
          <w:p>
            <w:pPr>
              <w:pStyle w:val="Compact"/>
            </w:pPr>
            <w:r>
              <w:t xml:space="preserve">75–98.3 fL</w:t>
            </w:r>
          </w:p>
        </w:tc>
        <w:tc>
          <w:tcPr/>
          <w:p>
            <w:pPr>
              <w:pStyle w:val="Compact"/>
              <w:jc w:val="right"/>
            </w:pPr>
            <w:r>
              <w:t xml:space="preserve">+0.4%</w:t>
            </w:r>
          </w:p>
        </w:tc>
        <w:tc>
          <w:tcPr/>
          <w:p>
            <w:pPr>
              <w:pStyle w:val="Compact"/>
            </w:pPr>
            <w:r>
              <w:rPr>
                <w:b/>
                <w:bCs/>
              </w:rPr>
              <w:t xml:space="preserve">NORMAL</w:t>
            </w:r>
          </w:p>
        </w:tc>
        <w:tc>
          <w:tcPr/>
          <w:p>
            <w:pPr>
              <w:pStyle w:val="Compact"/>
            </w:pPr>
            <w:r>
              <w:t xml:space="preserve">Snook et al., 2021</w:t>
            </w:r>
          </w:p>
        </w:tc>
      </w:tr>
      <w:tr>
        <w:tc>
          <w:tcPr/>
          <w:p>
            <w:pPr>
              <w:pStyle w:val="Compact"/>
            </w:pPr>
            <w:r>
              <w:rPr>
                <w:b/>
                <w:bCs/>
              </w:rPr>
              <w:t xml:space="preserve">MCH</w:t>
            </w:r>
          </w:p>
        </w:tc>
        <w:tc>
          <w:tcPr/>
          <w:p>
            <w:pPr>
              <w:pStyle w:val="Compact"/>
              <w:jc w:val="right"/>
            </w:pPr>
            <w:r>
              <w:t xml:space="preserve">24.6 pg / 15.09.2026</w:t>
            </w:r>
          </w:p>
        </w:tc>
        <w:tc>
          <w:tcPr/>
          <w:p>
            <w:pPr>
              <w:pStyle w:val="Compact"/>
            </w:pPr>
            <w:r>
              <w:t xml:space="preserve">23.2–33.2 pg</w:t>
            </w:r>
          </w:p>
        </w:tc>
        <w:tc>
          <w:tcPr/>
          <w:p>
            <w:pPr>
              <w:pStyle w:val="Compact"/>
              <w:jc w:val="right"/>
            </w:pPr>
            <w:r>
              <w:t xml:space="preserve">-1.2%</w:t>
            </w:r>
          </w:p>
        </w:tc>
        <w:tc>
          <w:tcPr/>
          <w:p>
            <w:pPr>
              <w:pStyle w:val="Compact"/>
            </w:pPr>
            <w:r>
              <w:rPr>
                <w:b/>
                <w:bCs/>
              </w:rPr>
              <w:t xml:space="preserve">NORMAL</w:t>
            </w:r>
          </w:p>
        </w:tc>
        <w:tc>
          <w:tcPr/>
          <w:p>
            <w:pPr>
              <w:pStyle w:val="Compact"/>
            </w:pPr>
            <w:r>
              <w:t xml:space="preserve">Snook et al., 2021</w:t>
            </w:r>
          </w:p>
        </w:tc>
      </w:tr>
      <w:tr>
        <w:tc>
          <w:tcPr/>
          <w:p>
            <w:pPr>
              <w:pStyle w:val="Compact"/>
            </w:pPr>
            <w:r>
              <w:rPr>
                <w:b/>
                <w:bCs/>
              </w:rPr>
              <w:t xml:space="preserve">MCHC</w:t>
            </w:r>
          </w:p>
        </w:tc>
        <w:tc>
          <w:tcPr/>
          <w:p>
            <w:pPr>
              <w:pStyle w:val="Compact"/>
              <w:jc w:val="right"/>
            </w:pPr>
            <w:r>
              <w:t xml:space="preserve">32.2 g/dL / 15.09.2026</w:t>
            </w:r>
          </w:p>
        </w:tc>
        <w:tc>
          <w:tcPr/>
          <w:p>
            <w:pPr>
              <w:pStyle w:val="Compact"/>
            </w:pPr>
            <w:r>
              <w:t xml:space="preserve">31.3–34.8 g/dL</w:t>
            </w:r>
          </w:p>
        </w:tc>
        <w:tc>
          <w:tcPr/>
          <w:p>
            <w:pPr>
              <w:pStyle w:val="Compact"/>
              <w:jc w:val="right"/>
            </w:pPr>
            <w:r>
              <w:t xml:space="preserve">-1.5%</w:t>
            </w:r>
          </w:p>
        </w:tc>
        <w:tc>
          <w:tcPr/>
          <w:p>
            <w:pPr>
              <w:pStyle w:val="Compact"/>
            </w:pPr>
            <w:r>
              <w:rPr>
                <w:b/>
                <w:bCs/>
              </w:rPr>
              <w:t xml:space="preserve">NORMAL</w:t>
            </w:r>
          </w:p>
        </w:tc>
        <w:tc>
          <w:tcPr/>
          <w:p>
            <w:pPr>
              <w:pStyle w:val="Compact"/>
            </w:pPr>
            <w:r>
              <w:t xml:space="preserve">Snook et al., 2021</w:t>
            </w:r>
          </w:p>
        </w:tc>
      </w:tr>
      <w:tr>
        <w:tc>
          <w:tcPr/>
          <w:p>
            <w:pPr>
              <w:pStyle w:val="Compact"/>
            </w:pPr>
            <w:r>
              <w:rPr>
                <w:b/>
                <w:bCs/>
              </w:rPr>
              <w:t xml:space="preserve">RDW-CV</w:t>
            </w:r>
          </w:p>
        </w:tc>
        <w:tc>
          <w:tcPr/>
          <w:p>
            <w:pPr>
              <w:pStyle w:val="Compact"/>
              <w:jc w:val="right"/>
            </w:pPr>
            <w:r>
              <w:t xml:space="preserve">18.2 % / 15.09.2026</w:t>
            </w:r>
          </w:p>
        </w:tc>
        <w:tc>
          <w:tcPr/>
          <w:p>
            <w:pPr>
              <w:pStyle w:val="Compact"/>
            </w:pPr>
            <w:r>
              <w:t xml:space="preserve">11.7–15.3 %</w:t>
            </w:r>
          </w:p>
        </w:tc>
        <w:tc>
          <w:tcPr/>
          <w:p>
            <w:pPr>
              <w:pStyle w:val="Compact"/>
              <w:jc w:val="right"/>
            </w:pPr>
            <w:r>
              <w:t xml:space="preserve">+2.2%</w:t>
            </w:r>
          </w:p>
        </w:tc>
        <w:tc>
          <w:tcPr/>
          <w:p>
            <w:pPr>
              <w:pStyle w:val="Compact"/>
            </w:pPr>
            <w:r>
              <w:rPr>
                <w:b/>
                <w:bCs/>
              </w:rPr>
              <w:t xml:space="preserve">YÜKSEK</w:t>
            </w:r>
          </w:p>
        </w:tc>
        <w:tc>
          <w:tcPr/>
          <w:p>
            <w:pPr>
              <w:pStyle w:val="Compact"/>
            </w:pPr>
            <w:r>
              <w:t xml:space="preserve">Snook et al., 2021</w:t>
            </w:r>
          </w:p>
        </w:tc>
      </w:tr>
      <w:tr>
        <w:tc>
          <w:tcPr/>
          <w:p>
            <w:pPr>
              <w:pStyle w:val="Compact"/>
            </w:pPr>
            <w:r>
              <w:rPr>
                <w:b/>
                <w:bCs/>
              </w:rPr>
              <w:t xml:space="preserve">RDW-SD</w:t>
            </w:r>
          </w:p>
        </w:tc>
        <w:tc>
          <w:tcPr/>
          <w:p>
            <w:pPr>
              <w:pStyle w:val="Compact"/>
              <w:jc w:val="right"/>
            </w:pPr>
            <w:r>
              <w:t xml:space="preserve">51.8 fL / 15.09.2026</w:t>
            </w:r>
          </w:p>
        </w:tc>
        <w:tc>
          <w:tcPr/>
          <w:p>
            <w:pPr>
              <w:pStyle w:val="Compact"/>
            </w:pPr>
            <w:r>
              <w:t xml:space="preserve">38.4–47.6 fL</w:t>
            </w:r>
          </w:p>
        </w:tc>
        <w:tc>
          <w:tcPr/>
          <w:p>
            <w:pPr>
              <w:pStyle w:val="Compact"/>
              <w:jc w:val="right"/>
            </w:pPr>
            <w:r>
              <w:t xml:space="preserve">+2.0%</w:t>
            </w:r>
          </w:p>
        </w:tc>
        <w:tc>
          <w:tcPr/>
          <w:p>
            <w:pPr>
              <w:pStyle w:val="Compact"/>
            </w:pPr>
            <w:r>
              <w:rPr>
                <w:b/>
                <w:bCs/>
              </w:rPr>
              <w:t xml:space="preserve">YÜKSEK</w:t>
            </w:r>
          </w:p>
        </w:tc>
        <w:tc>
          <w:tcPr/>
          <w:p>
            <w:pPr>
              <w:pStyle w:val="Compact"/>
            </w:pPr>
            <w:r>
              <w:t xml:space="preserve">Snook et al., 2021</w:t>
            </w:r>
          </w:p>
        </w:tc>
      </w:tr>
      <w:tr>
        <w:tc>
          <w:tcPr/>
          <w:p>
            <w:pPr>
              <w:pStyle w:val="Compact"/>
            </w:pPr>
            <w:r>
              <w:rPr>
                <w:b/>
                <w:bCs/>
              </w:rPr>
              <w:t xml:space="preserve">PLT</w:t>
            </w:r>
          </w:p>
        </w:tc>
        <w:tc>
          <w:tcPr/>
          <w:p>
            <w:pPr>
              <w:pStyle w:val="Compact"/>
              <w:jc w:val="right"/>
            </w:pPr>
            <w:r>
              <w:t xml:space="preserve">368 10^9/L / 15.09.2026</w:t>
            </w:r>
          </w:p>
        </w:tc>
        <w:tc>
          <w:tcPr/>
          <w:p>
            <w:pPr>
              <w:pStyle w:val="Compact"/>
            </w:pPr>
            <w:r>
              <w:t xml:space="preserve">151–387 10^9/L</w:t>
            </w:r>
          </w:p>
        </w:tc>
        <w:tc>
          <w:tcPr/>
          <w:p>
            <w:pPr>
              <w:pStyle w:val="Compact"/>
              <w:jc w:val="right"/>
            </w:pPr>
            <w:r>
              <w:t xml:space="preserve">+0.8%</w:t>
            </w:r>
          </w:p>
        </w:tc>
        <w:tc>
          <w:tcPr/>
          <w:p>
            <w:pPr>
              <w:pStyle w:val="Compact"/>
            </w:pPr>
            <w:r>
              <w:rPr>
                <w:b/>
                <w:bCs/>
              </w:rPr>
              <w:t xml:space="preserve">NORMAL</w:t>
            </w:r>
          </w:p>
        </w:tc>
        <w:tc>
          <w:tcPr/>
          <w:p>
            <w:pPr>
              <w:pStyle w:val="Compact"/>
            </w:pPr>
            <w:r>
              <w:t xml:space="preserve">Delgado et al., 2023</w:t>
            </w:r>
          </w:p>
        </w:tc>
      </w:tr>
      <w:tr>
        <w:tc>
          <w:tcPr/>
          <w:p>
            <w:pPr>
              <w:pStyle w:val="Compact"/>
            </w:pPr>
            <w:r>
              <w:rPr>
                <w:b/>
                <w:bCs/>
              </w:rPr>
              <w:t xml:space="preserve">MPV</w:t>
            </w:r>
          </w:p>
        </w:tc>
        <w:tc>
          <w:tcPr/>
          <w:p>
            <w:pPr>
              <w:pStyle w:val="Compact"/>
              <w:jc w:val="right"/>
            </w:pPr>
            <w:r>
              <w:t xml:space="preserve">9.5 fL / 15.09.2026</w:t>
            </w:r>
          </w:p>
        </w:tc>
        <w:tc>
          <w:tcPr/>
          <w:p>
            <w:pPr>
              <w:pStyle w:val="Compact"/>
            </w:pPr>
            <w:r>
              <w:t xml:space="preserve">8.4–12.7 fL</w:t>
            </w:r>
          </w:p>
        </w:tc>
        <w:tc>
          <w:tcPr/>
          <w:p>
            <w:pPr>
              <w:pStyle w:val="Compact"/>
              <w:jc w:val="right"/>
            </w:pPr>
            <w:r>
              <w:t xml:space="preserve">-1.0%</w:t>
            </w:r>
          </w:p>
        </w:tc>
        <w:tc>
          <w:tcPr/>
          <w:p>
            <w:pPr>
              <w:pStyle w:val="Compact"/>
            </w:pPr>
            <w:r>
              <w:rPr>
                <w:b/>
                <w:bCs/>
              </w:rPr>
              <w:t xml:space="preserve">NORMAL</w:t>
            </w:r>
          </w:p>
        </w:tc>
        <w:tc>
          <w:tcPr/>
          <w:p>
            <w:pPr>
              <w:pStyle w:val="Compact"/>
            </w:pPr>
            <w:r>
              <w:t xml:space="preserve">Delgado et al., 2023</w:t>
            </w:r>
          </w:p>
        </w:tc>
      </w:tr>
      <w:tr>
        <w:tc>
          <w:tcPr/>
          <w:p>
            <w:pPr>
              <w:pStyle w:val="Compact"/>
            </w:pPr>
            <w:r>
              <w:rPr>
                <w:b/>
                <w:bCs/>
              </w:rPr>
              <w:t xml:space="preserve">CREA</w:t>
            </w:r>
          </w:p>
        </w:tc>
        <w:tc>
          <w:tcPr/>
          <w:p>
            <w:pPr>
              <w:pStyle w:val="Compact"/>
              <w:jc w:val="right"/>
            </w:pPr>
            <w:r>
              <w:t xml:space="preserve">1.11 mg/dL / 15.09.2026</w:t>
            </w:r>
          </w:p>
        </w:tc>
        <w:tc>
          <w:tcPr/>
          <w:p>
            <w:pPr>
              <w:pStyle w:val="Compact"/>
            </w:pPr>
            <w:r>
              <w:t xml:space="preserve">0.7–1.2 mg/dL</w:t>
            </w:r>
          </w:p>
        </w:tc>
        <w:tc>
          <w:tcPr/>
          <w:p>
            <w:pPr>
              <w:pStyle w:val="Compact"/>
              <w:jc w:val="right"/>
            </w:pPr>
            <w:r>
              <w:t xml:space="preserve">+8.8%</w:t>
            </w:r>
          </w:p>
        </w:tc>
        <w:tc>
          <w:tcPr/>
          <w:p>
            <w:pPr>
              <w:pStyle w:val="Compact"/>
            </w:pPr>
            <w:r>
              <w:rPr>
                <w:b/>
                <w:bCs/>
              </w:rPr>
              <w:t xml:space="preserve">NORMAL</w:t>
            </w:r>
          </w:p>
        </w:tc>
        <w:tc>
          <w:tcPr/>
          <w:p>
            <w:pPr>
              <w:pStyle w:val="Compact"/>
            </w:pPr>
            <w:r>
              <w:t xml:space="preserve">Camaschella, 2015</w:t>
            </w:r>
          </w:p>
        </w:tc>
      </w:tr>
      <w:tr>
        <w:tc>
          <w:tcPr/>
          <w:p>
            <w:pPr>
              <w:pStyle w:val="Compact"/>
            </w:pPr>
            <w:r>
              <w:rPr>
                <w:b/>
                <w:bCs/>
              </w:rPr>
              <w:t xml:space="preserve">BUN</w:t>
            </w:r>
          </w:p>
        </w:tc>
        <w:tc>
          <w:tcPr/>
          <w:p>
            <w:pPr>
              <w:pStyle w:val="Compact"/>
              <w:jc w:val="right"/>
            </w:pPr>
            <w:r>
              <w:t xml:space="preserve">14.5 mg/dL / 15.09.2026</w:t>
            </w:r>
          </w:p>
        </w:tc>
        <w:tc>
          <w:tcPr/>
          <w:p>
            <w:pPr>
              <w:pStyle w:val="Compact"/>
            </w:pPr>
            <w:r>
              <w:t xml:space="preserve">7–20 mg/dL</w:t>
            </w:r>
          </w:p>
        </w:tc>
        <w:tc>
          <w:tcPr/>
          <w:p>
            <w:pPr>
              <w:pStyle w:val="Compact"/>
              <w:jc w:val="right"/>
            </w:pPr>
            <w:r>
              <w:t xml:space="preserve">+31.8%</w:t>
            </w:r>
          </w:p>
        </w:tc>
        <w:tc>
          <w:tcPr/>
          <w:p>
            <w:pPr>
              <w:pStyle w:val="Compact"/>
            </w:pPr>
            <w:r>
              <w:rPr>
                <w:b/>
                <w:bCs/>
              </w:rPr>
              <w:t xml:space="preserve">NORMAL</w:t>
            </w:r>
          </w:p>
        </w:tc>
        <w:tc>
          <w:tcPr/>
          <w:p>
            <w:pPr>
              <w:pStyle w:val="Compact"/>
            </w:pPr>
            <w:r>
              <w:t xml:space="preserve">Camaschella, 2015</w:t>
            </w:r>
          </w:p>
        </w:tc>
      </w:tr>
      <w:tr>
        <w:tc>
          <w:tcPr/>
          <w:p>
            <w:pPr>
              <w:pStyle w:val="Compact"/>
            </w:pPr>
            <w:r>
              <w:rPr>
                <w:b/>
                <w:bCs/>
              </w:rPr>
              <w:t xml:space="preserve">eGFR</w:t>
            </w:r>
          </w:p>
        </w:tc>
        <w:tc>
          <w:tcPr/>
          <w:p>
            <w:pPr>
              <w:pStyle w:val="Compact"/>
              <w:jc w:val="right"/>
            </w:pPr>
            <w:r>
              <w:t xml:space="preserve">70.89 mL/dk/1.73 m² / 2026-09-15</w:t>
            </w:r>
          </w:p>
        </w:tc>
        <w:tc>
          <w:tcPr/>
          <w:p>
            <w:pPr>
              <w:pStyle w:val="Compact"/>
            </w:pPr>
            <w:r>
              <w:t xml:space="preserve">—</w:t>
            </w:r>
          </w:p>
        </w:tc>
        <w:tc>
          <w:tcPr/>
          <w:p>
            <w:pPr>
              <w:pStyle w:val="Compact"/>
              <w:jc w:val="right"/>
            </w:pPr>
            <w:r>
              <w:t xml:space="preserve">—</w:t>
            </w:r>
          </w:p>
        </w:tc>
        <w:tc>
          <w:tcPr/>
          <w:p>
            <w:pPr>
              <w:pStyle w:val="Compact"/>
            </w:pPr>
            <w:r>
              <w:rPr>
                <w:b/>
                <w:bCs/>
              </w:rPr>
              <w:t xml:space="preserve">KAYITSIZ</w:t>
            </w:r>
          </w:p>
        </w:tc>
        <w:tc>
          <w:tcPr/>
          <w:p>
            <w:pPr>
              <w:pStyle w:val="Compact"/>
            </w:pPr>
            <w:r>
              <w:t xml:space="preserve">Inker et al., 2021</w:t>
            </w:r>
          </w:p>
        </w:tc>
      </w:tr>
      <w:tr>
        <w:tc>
          <w:tcPr/>
          <w:p>
            <w:pPr>
              <w:pStyle w:val="Compact"/>
            </w:pPr>
            <w:r>
              <w:rPr>
                <w:b/>
                <w:bCs/>
              </w:rPr>
              <w:t xml:space="preserve">NA</w:t>
            </w:r>
          </w:p>
        </w:tc>
        <w:tc>
          <w:tcPr/>
          <w:p>
            <w:pPr>
              <w:pStyle w:val="Compact"/>
              <w:jc w:val="right"/>
            </w:pPr>
            <w:r>
              <w:t xml:space="preserve">138 mmol/L / 15.09.2026</w:t>
            </w:r>
          </w:p>
        </w:tc>
        <w:tc>
          <w:tcPr/>
          <w:p>
            <w:pPr>
              <w:pStyle w:val="Compact"/>
            </w:pPr>
            <w:r>
              <w:t xml:space="preserve">136–145 mmol/L</w:t>
            </w:r>
          </w:p>
        </w:tc>
        <w:tc>
          <w:tcPr/>
          <w:p>
            <w:pPr>
              <w:pStyle w:val="Compact"/>
              <w:jc w:val="right"/>
            </w:pPr>
            <w:r>
              <w:t xml:space="preserve">+0.7%</w:t>
            </w:r>
          </w:p>
        </w:tc>
        <w:tc>
          <w:tcPr/>
          <w:p>
            <w:pPr>
              <w:pStyle w:val="Compact"/>
            </w:pPr>
            <w:r>
              <w:rPr>
                <w:b/>
                <w:bCs/>
              </w:rPr>
              <w:t xml:space="preserve">NORMAL</w:t>
            </w:r>
          </w:p>
        </w:tc>
        <w:tc>
          <w:tcPr/>
          <w:p>
            <w:pPr>
              <w:pStyle w:val="Compact"/>
            </w:pPr>
            <w:r>
              <w:t xml:space="preserve">McEvoy et al., 2024</w:t>
            </w:r>
          </w:p>
        </w:tc>
      </w:tr>
      <w:tr>
        <w:tc>
          <w:tcPr/>
          <w:p>
            <w:pPr>
              <w:pStyle w:val="Compact"/>
            </w:pPr>
            <w:r>
              <w:rPr>
                <w:b/>
                <w:bCs/>
              </w:rPr>
              <w:t xml:space="preserve">K</w:t>
            </w:r>
          </w:p>
        </w:tc>
        <w:tc>
          <w:tcPr/>
          <w:p>
            <w:pPr>
              <w:pStyle w:val="Compact"/>
              <w:jc w:val="right"/>
            </w:pPr>
            <w:r>
              <w:t xml:space="preserve">5.05 mmol/L / 15.09.2026</w:t>
            </w:r>
          </w:p>
        </w:tc>
        <w:tc>
          <w:tcPr/>
          <w:p>
            <w:pPr>
              <w:pStyle w:val="Compact"/>
            </w:pPr>
            <w:r>
              <w:t xml:space="preserve">3.5–5.5 mmol/L</w:t>
            </w:r>
          </w:p>
        </w:tc>
        <w:tc>
          <w:tcPr/>
          <w:p>
            <w:pPr>
              <w:pStyle w:val="Compact"/>
              <w:jc w:val="right"/>
            </w:pPr>
            <w:r>
              <w:t xml:space="preserve">+8.6%</w:t>
            </w:r>
          </w:p>
        </w:tc>
        <w:tc>
          <w:tcPr/>
          <w:p>
            <w:pPr>
              <w:pStyle w:val="Compact"/>
            </w:pPr>
            <w:r>
              <w:rPr>
                <w:b/>
                <w:bCs/>
              </w:rPr>
              <w:t xml:space="preserve">NORMAL</w:t>
            </w:r>
          </w:p>
        </w:tc>
        <w:tc>
          <w:tcPr/>
          <w:p>
            <w:pPr>
              <w:pStyle w:val="Compact"/>
            </w:pPr>
            <w:r>
              <w:t xml:space="preserve">McEvoy et al., 2024</w:t>
            </w:r>
          </w:p>
        </w:tc>
      </w:tr>
      <w:tr>
        <w:tc>
          <w:tcPr/>
          <w:p>
            <w:pPr>
              <w:pStyle w:val="Compact"/>
            </w:pPr>
            <w:r>
              <w:rPr>
                <w:b/>
                <w:bCs/>
              </w:rPr>
              <w:t xml:space="preserve">CL</w:t>
            </w:r>
          </w:p>
        </w:tc>
        <w:tc>
          <w:tcPr/>
          <w:p>
            <w:pPr>
              <w:pStyle w:val="Compact"/>
              <w:jc w:val="right"/>
            </w:pPr>
            <w:r>
              <w:t xml:space="preserve">101 mmol/L / 15.09.2026</w:t>
            </w:r>
          </w:p>
        </w:tc>
        <w:tc>
          <w:tcPr/>
          <w:p>
            <w:pPr>
              <w:pStyle w:val="Compact"/>
            </w:pPr>
            <w:r>
              <w:t xml:space="preserve">95–110 mmol/L</w:t>
            </w:r>
          </w:p>
        </w:tc>
        <w:tc>
          <w:tcPr/>
          <w:p>
            <w:pPr>
              <w:pStyle w:val="Compact"/>
              <w:jc w:val="right"/>
            </w:pPr>
            <w:r>
              <w:t xml:space="preserve">-1.9%</w:t>
            </w:r>
          </w:p>
        </w:tc>
        <w:tc>
          <w:tcPr/>
          <w:p>
            <w:pPr>
              <w:pStyle w:val="Compact"/>
            </w:pPr>
            <w:r>
              <w:rPr>
                <w:b/>
                <w:bCs/>
              </w:rPr>
              <w:t xml:space="preserve">NORMAL</w:t>
            </w:r>
          </w:p>
        </w:tc>
        <w:tc>
          <w:tcPr/>
          <w:p>
            <w:pPr>
              <w:pStyle w:val="Compact"/>
            </w:pPr>
            <w:r>
              <w:t xml:space="preserve">McEvoy et al., 2024</w:t>
            </w:r>
          </w:p>
        </w:tc>
      </w:tr>
      <w:tr>
        <w:tc>
          <w:tcPr/>
          <w:p>
            <w:pPr>
              <w:pStyle w:val="Compact"/>
            </w:pPr>
            <w:r>
              <w:rPr>
                <w:b/>
                <w:bCs/>
              </w:rPr>
              <w:t xml:space="preserve">FERRITIN</w:t>
            </w:r>
          </w:p>
        </w:tc>
        <w:tc>
          <w:tcPr/>
          <w:p>
            <w:pPr>
              <w:pStyle w:val="Compact"/>
              <w:jc w:val="right"/>
            </w:pPr>
            <w:r>
              <w:t xml:space="preserve">19 µg/L / 08.09.2026</w:t>
            </w:r>
          </w:p>
        </w:tc>
        <w:tc>
          <w:tcPr/>
          <w:p>
            <w:pPr>
              <w:pStyle w:val="Compact"/>
            </w:pPr>
            <w:r>
              <w:t xml:space="preserve">30–400 µg/L</w:t>
            </w:r>
          </w:p>
        </w:tc>
        <w:tc>
          <w:tcPr/>
          <w:p>
            <w:pPr>
              <w:pStyle w:val="Compact"/>
              <w:jc w:val="right"/>
            </w:pPr>
            <w:r>
              <w:t xml:space="preserve">—</w:t>
            </w:r>
          </w:p>
        </w:tc>
        <w:tc>
          <w:tcPr/>
          <w:p>
            <w:pPr>
              <w:pStyle w:val="Compact"/>
            </w:pPr>
            <w:r>
              <w:rPr>
                <w:b/>
                <w:bCs/>
              </w:rPr>
              <w:t xml:space="preserve">DÜŞÜK</w:t>
            </w:r>
          </w:p>
        </w:tc>
        <w:tc>
          <w:tcPr/>
          <w:p>
            <w:pPr>
              <w:pStyle w:val="Compact"/>
            </w:pPr>
            <w:r>
              <w:t xml:space="preserve">Camaschella, 2015; Snook et al., 2021</w:t>
            </w:r>
          </w:p>
        </w:tc>
      </w:tr>
      <w:tr>
        <w:tc>
          <w:tcPr/>
          <w:p>
            <w:pPr>
              <w:pStyle w:val="Compact"/>
            </w:pPr>
            <w:r>
              <w:rPr>
                <w:b/>
                <w:bCs/>
              </w:rPr>
              <w:t xml:space="preserve">IRON</w:t>
            </w:r>
          </w:p>
        </w:tc>
        <w:tc>
          <w:tcPr/>
          <w:p>
            <w:pPr>
              <w:pStyle w:val="Compact"/>
              <w:jc w:val="right"/>
            </w:pPr>
            <w:r>
              <w:t xml:space="preserve">15 µg/dL / 08.09.2026</w:t>
            </w:r>
          </w:p>
        </w:tc>
        <w:tc>
          <w:tcPr/>
          <w:p>
            <w:pPr>
              <w:pStyle w:val="Compact"/>
            </w:pPr>
            <w:r>
              <w:t xml:space="preserve">59–158 µg/dL</w:t>
            </w:r>
          </w:p>
        </w:tc>
        <w:tc>
          <w:tcPr/>
          <w:p>
            <w:pPr>
              <w:pStyle w:val="Compact"/>
              <w:jc w:val="right"/>
            </w:pPr>
            <w:r>
              <w:t xml:space="preserve">—</w:t>
            </w:r>
          </w:p>
        </w:tc>
        <w:tc>
          <w:tcPr/>
          <w:p>
            <w:pPr>
              <w:pStyle w:val="Compact"/>
            </w:pPr>
            <w:r>
              <w:rPr>
                <w:b/>
                <w:bCs/>
              </w:rPr>
              <w:t xml:space="preserve">DÜŞÜK</w:t>
            </w:r>
          </w:p>
        </w:tc>
        <w:tc>
          <w:tcPr/>
          <w:p>
            <w:pPr>
              <w:pStyle w:val="Compact"/>
            </w:pPr>
            <w:r>
              <w:t xml:space="preserve">Camaschella, 2015; Snook et al., 2021</w:t>
            </w:r>
          </w:p>
        </w:tc>
      </w:tr>
      <w:tr>
        <w:tc>
          <w:tcPr/>
          <w:p>
            <w:pPr>
              <w:pStyle w:val="Compact"/>
            </w:pPr>
            <w:r>
              <w:rPr>
                <w:b/>
                <w:bCs/>
              </w:rPr>
              <w:t xml:space="preserve">UIBC</w:t>
            </w:r>
          </w:p>
        </w:tc>
        <w:tc>
          <w:tcPr/>
          <w:p>
            <w:pPr>
              <w:pStyle w:val="Compact"/>
              <w:jc w:val="right"/>
            </w:pPr>
            <w:r>
              <w:t xml:space="preserve">326.8 µg/dL / 08.09.2026</w:t>
            </w:r>
          </w:p>
        </w:tc>
        <w:tc>
          <w:tcPr/>
          <w:p>
            <w:pPr>
              <w:pStyle w:val="Compact"/>
            </w:pPr>
            <w:r>
              <w:t xml:space="preserve">110–370 µg/dL</w:t>
            </w:r>
          </w:p>
        </w:tc>
        <w:tc>
          <w:tcPr/>
          <w:p>
            <w:pPr>
              <w:pStyle w:val="Compact"/>
              <w:jc w:val="right"/>
            </w:pPr>
            <w:r>
              <w:t xml:space="preserve">—</w:t>
            </w:r>
          </w:p>
        </w:tc>
        <w:tc>
          <w:tcPr/>
          <w:p>
            <w:pPr>
              <w:pStyle w:val="Compact"/>
            </w:pPr>
            <w:r>
              <w:rPr>
                <w:b/>
                <w:bCs/>
              </w:rPr>
              <w:t xml:space="preserve">NORMAL</w:t>
            </w:r>
          </w:p>
        </w:tc>
        <w:tc>
          <w:tcPr/>
          <w:p>
            <w:pPr>
              <w:pStyle w:val="Compact"/>
            </w:pPr>
            <w:r>
              <w:t xml:space="preserve">Snook et al., 2021</w:t>
            </w:r>
          </w:p>
        </w:tc>
      </w:tr>
      <w:tr>
        <w:tc>
          <w:tcPr/>
          <w:p>
            <w:pPr>
              <w:pStyle w:val="Compact"/>
            </w:pPr>
            <w:r>
              <w:rPr>
                <w:b/>
                <w:bCs/>
              </w:rPr>
              <w:t xml:space="preserve">B12</w:t>
            </w:r>
          </w:p>
        </w:tc>
        <w:tc>
          <w:tcPr/>
          <w:p>
            <w:pPr>
              <w:pStyle w:val="Compact"/>
              <w:jc w:val="right"/>
            </w:pPr>
            <w:r>
              <w:t xml:space="preserve">638 pg/mL / 08.09.2026</w:t>
            </w:r>
          </w:p>
        </w:tc>
        <w:tc>
          <w:tcPr/>
          <w:p>
            <w:pPr>
              <w:pStyle w:val="Compact"/>
            </w:pPr>
            <w:r>
              <w:t xml:space="preserve">211–946 pg/mL</w:t>
            </w:r>
          </w:p>
        </w:tc>
        <w:tc>
          <w:tcPr/>
          <w:p>
            <w:pPr>
              <w:pStyle w:val="Compact"/>
              <w:jc w:val="right"/>
            </w:pPr>
            <w:r>
              <w:t xml:space="preserve">—</w:t>
            </w:r>
          </w:p>
        </w:tc>
        <w:tc>
          <w:tcPr/>
          <w:p>
            <w:pPr>
              <w:pStyle w:val="Compact"/>
            </w:pPr>
            <w:r>
              <w:rPr>
                <w:b/>
                <w:bCs/>
              </w:rPr>
              <w:t xml:space="preserve">NORMAL</w:t>
            </w:r>
          </w:p>
        </w:tc>
        <w:tc>
          <w:tcPr/>
          <w:p>
            <w:pPr>
              <w:pStyle w:val="Compact"/>
            </w:pPr>
            <w:r>
              <w:t xml:space="preserve">Snook et al., 2021</w:t>
            </w:r>
          </w:p>
        </w:tc>
      </w:tr>
    </w:tbl>
    <w:bookmarkEnd w:id="17"/>
    <w:bookmarkStart w:id="23" w:name="Xc7122ad78011b7b1b7fa8450e74b9b36327da15"/>
    <w:p>
      <w:pPr>
        <w:pStyle w:val="Heading2"/>
      </w:pPr>
      <w:r>
        <w:t xml:space="preserve">5. Boylamsal Biyoistatistik ve Trend Analizi</w:t>
      </w:r>
    </w:p>
    <w:bookmarkStart w:id="18" w:name="Xa8bfa29daa061a9741c3314bf482e380db120f4"/>
    <w:p>
      <w:pPr>
        <w:pStyle w:val="Heading3"/>
      </w:pPr>
      <w:r>
        <w:t xml:space="preserve">5.1 Antikoagülasyon trendi</w:t>
      </w:r>
    </w:p>
    <w:p>
      <w:pPr>
        <w:pStyle w:val="FirstParagraph"/>
      </w:pPr>
      <w:r>
        <w:t xml:space="preserve">INR serisi belirgin dalgalanma göstermektedir: 16.03.2026'da 8,46, 05.05.2026'da 1,77, 12.05.2026'da 1,65, 23–27.07.2026 döneminde 1,79'dan 1,17'ye kadar düşüş, 18.08.2026'da 2,59, 25.08.2026'da 2,76, 02.09.2026'da 2,72 ve 10.09.2026'da 2,12 kaydedilmiştir. 15.09.2026'da 1,95'e gerileme, son hedef içi ölçümden sonra yeniden hedef dışına çıkışı gösterir. Tek bir düşük değer tedavi başarısızlığı olarak tanımlanamaz; buna karşın mekanik kapak nedeniyle trend, doz değişiklikleri ve kısa aralıklı INR kontrolleri birlikte ele alınmalıdır (Praz et al., 2025).</w:t>
      </w:r>
    </w:p>
    <w:bookmarkEnd w:id="18"/>
    <w:bookmarkStart w:id="19" w:name="Xdb507c35ee42a17e72abb786f91031789814841"/>
    <w:p>
      <w:pPr>
        <w:pStyle w:val="Heading3"/>
      </w:pPr>
      <w:r>
        <w:t xml:space="preserve">5.2 Anemi trendi</w:t>
      </w:r>
    </w:p>
    <w:p>
      <w:pPr>
        <w:pStyle w:val="FirstParagraph"/>
      </w:pPr>
      <w:r>
        <w:t xml:space="preserve">Hemoglobin 23.07.2026'da 11,3 g/dL iken 27.07.2026'da 7,7 g/dL'ye düşmüş, 28.07.2026'da 8,1 g/dL olarak kaydedilmiş ve 08.09.2026 ile 15.09.2026'da 9,7 g/dL düzeyine ulaşmıştır. Bu toparlanma, Temmuz sonundaki ağır düşüşün kısmen düzeldiğini gösterir; ancak hemoglobin hâlen belirgin düşüktür. MCV 76,7 fL, MCH 24,6 pg, RDW-CV 18,2% ve ferritin 19 µg/L ile birlikte demir eksikliği paterni devam etmektedir (Camaschella, 2015; Snook et al., 2021).</w:t>
      </w:r>
    </w:p>
    <w:bookmarkEnd w:id="19"/>
    <w:bookmarkStart w:id="20" w:name="X84c67e5b53460d0ea68394f6d948a18800f1f41"/>
    <w:p>
      <w:pPr>
        <w:pStyle w:val="Heading3"/>
      </w:pPr>
      <w:r>
        <w:t xml:space="preserve">5.3 İnflamasyon trendi</w:t>
      </w:r>
    </w:p>
    <w:p>
      <w:pPr>
        <w:pStyle w:val="FirstParagraph"/>
      </w:pPr>
      <w:r>
        <w:t xml:space="preserve">CRP 08.09.2026'da 11,3 mg/L'den 15.09.2026'da 5,7 mg/L'ye inmiştir. Bu %49,6'lık düşüş, Klamoks kürünün tamamlanmasını takip eden dönemde inflamatuvar yükte gerileme yönünde olumlu bir biyobelirteç trendidir. Ancak sternal yara ve prostetik materyal varlığında biyobelirteç normalleşmesi klinik ve mikrobiyolojik doğrulama yerine geçmez (Delgado et al., 2023).</w:t>
      </w:r>
    </w:p>
    <w:bookmarkEnd w:id="20"/>
    <w:bookmarkStart w:id="21" w:name="X25dfa1a37f6f781adfb4c3403716acfa00912a7"/>
    <w:p>
      <w:pPr>
        <w:pStyle w:val="Heading3"/>
      </w:pPr>
      <w:r>
        <w:t xml:space="preserve">5.4 Böbrek fonksiyonu</w:t>
      </w:r>
    </w:p>
    <w:p>
      <w:pPr>
        <w:pStyle w:val="FirstParagraph"/>
      </w:pPr>
      <w:r>
        <w:t xml:space="preserve">Kreatinin 08.09.2026'da 1,02 mg/dL iken 15.09.2026'da 1,11 mg/dL olmuştur; değişim yaklaşık +%8,8'dır ve laboratuvar referansının üstüne çıkmamıştır. eGFR 70,89 mL/dk/1,73 m² olarak kaydedilmiştir. Bu sonuçlar, mevcut veri kesitinde akut ağır böbrek fonksiyon kaybı lehine tek başına yeterli kanıt oluşturmaz; ancak perindopril ve demir tedavisi sırasında rutin biyokimyasal takip sürdürülmelidir (McEvoy et al., 2024).</w:t>
      </w:r>
    </w:p>
    <w:bookmarkEnd w:id="21"/>
    <w:bookmarkStart w:id="22" w:name="X95e419fb292fd8e0e1d3fec0af3bd6bc9171110"/>
    <w:p>
      <w:pPr>
        <w:pStyle w:val="Heading3"/>
      </w:pPr>
      <w:r>
        <w:t xml:space="preserve">5.5 Kilo ve sıvı durumu</w:t>
      </w:r>
    </w:p>
    <w:p>
      <w:pPr>
        <w:pStyle w:val="FirstParagraph"/>
      </w:pPr>
      <w:r>
        <w:t xml:space="preserve">10.09.2026'da 78,4 kg, 11.09.2026'da 78,9 kg, 14.09.2026'da 79,7 kg, 15.09.2026'da 78,9 kg ve 16.09.2026'da 78,9 kg kayıtlıdır. 14 Eylül'deki geçici artışın iki gün içinde 78,9 kg'a dönmesi ve 16 Eylül'de aynı değerin korunması, mevcut veri ile belirgin sürekli kilo artışı göstermemektedir. Kilo değişimi tek başına ödem tanısı koydurmaz; periferik ödem, akciğer konjesyonu ve günlük sıvı dengesi klinik muayene ile değerlendirilmelidir.</w:t>
      </w:r>
    </w:p>
    <w:bookmarkEnd w:id="22"/>
    <w:bookmarkEnd w:id="23"/>
    <w:bookmarkStart w:id="24" w:name="X217784cd07b62b1903256de80d69115ea1906ca"/>
    <w:p>
      <w:pPr>
        <w:pStyle w:val="Heading2"/>
      </w:pPr>
      <w:r>
        <w:t xml:space="preserve">6. Güncel Farmakoterapi Rejimi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İlaç</w:t>
            </w:r>
          </w:p>
        </w:tc>
        <w:tc>
          <w:tcPr/>
          <w:p>
            <w:pPr>
              <w:pStyle w:val="Compact"/>
            </w:pPr>
            <w:r>
              <w:t xml:space="preserve">Kayıtlı güncel şema</w:t>
            </w:r>
          </w:p>
        </w:tc>
        <w:tc>
          <w:tcPr/>
          <w:p>
            <w:pPr>
              <w:pStyle w:val="Compact"/>
            </w:pPr>
            <w:r>
              <w:t xml:space="preserve">Klinik bağlam</w:t>
            </w:r>
          </w:p>
        </w:tc>
        <w:tc>
          <w:tcPr/>
          <w:p>
            <w:pPr>
              <w:pStyle w:val="Compact"/>
            </w:pPr>
            <w:r>
              <w:t xml:space="preserve">İzlem</w:t>
            </w:r>
          </w:p>
        </w:tc>
      </w:tr>
      <w:tr>
        <w:tc>
          <w:tcPr/>
          <w:p>
            <w:pPr>
              <w:pStyle w:val="Compact"/>
            </w:pPr>
            <w:r>
              <w:rPr>
                <w:b/>
                <w:bCs/>
              </w:rPr>
              <w:t xml:space="preserve">Warfmadin / warfarin</w:t>
            </w:r>
          </w:p>
        </w:tc>
        <w:tc>
          <w:tcPr/>
          <w:p>
            <w:pPr>
              <w:pStyle w:val="Compact"/>
            </w:pPr>
            <w:r>
              <w:t xml:space="preserve">5 mg tablet; son kayıt haftalık toplam 20 mg</w:t>
            </w:r>
          </w:p>
        </w:tc>
        <w:tc>
          <w:tcPr/>
          <w:p>
            <w:pPr>
              <w:pStyle w:val="Compact"/>
            </w:pPr>
            <w:r>
              <w:t xml:space="preserve">Mekanik aort kapağı nedeniyle yaşam boyu VKA</w:t>
            </w:r>
          </w:p>
        </w:tc>
        <w:tc>
          <w:tcPr/>
          <w:p>
            <w:pPr>
              <w:pStyle w:val="Compact"/>
            </w:pPr>
            <w:r>
              <w:t xml:space="preserve">INR kısa aralıkta tekrar; hekim gözetiminde doz titrasyonu (Praz et al., 2025)</w:t>
            </w:r>
          </w:p>
        </w:tc>
      </w:tr>
      <w:tr>
        <w:tc>
          <w:tcPr/>
          <w:p>
            <w:pPr>
              <w:pStyle w:val="Compact"/>
            </w:pPr>
            <w:r>
              <w:rPr>
                <w:b/>
                <w:bCs/>
              </w:rPr>
              <w:t xml:space="preserve">Dilatrend / carvedilol</w:t>
            </w:r>
          </w:p>
        </w:tc>
        <w:tc>
          <w:tcPr/>
          <w:p>
            <w:pPr>
              <w:pStyle w:val="Compact"/>
            </w:pPr>
            <w:r>
              <w:t xml:space="preserve">6,25 mg, günde 2 kez</w:t>
            </w:r>
          </w:p>
        </w:tc>
        <w:tc>
          <w:tcPr/>
          <w:p>
            <w:pPr>
              <w:pStyle w:val="Compact"/>
            </w:pPr>
            <w:r>
              <w:t xml:space="preserve">Kalp hızı ve kan basıncı kontrolü</w:t>
            </w:r>
          </w:p>
        </w:tc>
        <w:tc>
          <w:tcPr/>
          <w:p>
            <w:pPr>
              <w:pStyle w:val="Compact"/>
            </w:pPr>
            <w:r>
              <w:t xml:space="preserve">Nabız, ortostatik semptom, kan basıncı</w:t>
            </w:r>
          </w:p>
        </w:tc>
      </w:tr>
      <w:tr>
        <w:tc>
          <w:tcPr/>
          <w:p>
            <w:pPr>
              <w:pStyle w:val="Compact"/>
            </w:pPr>
            <w:r>
              <w:rPr>
                <w:b/>
                <w:bCs/>
              </w:rPr>
              <w:t xml:space="preserve">Coversyl / perindopril</w:t>
            </w:r>
          </w:p>
        </w:tc>
        <w:tc>
          <w:tcPr/>
          <w:p>
            <w:pPr>
              <w:pStyle w:val="Compact"/>
            </w:pPr>
            <w:r>
              <w:t xml:space="preserve">5 mg, günde 1 kez</w:t>
            </w:r>
          </w:p>
        </w:tc>
        <w:tc>
          <w:tcPr/>
          <w:p>
            <w:pPr>
              <w:pStyle w:val="Compact"/>
            </w:pPr>
            <w:r>
              <w:t xml:space="preserve">RAS blokajı ve kan basıncı kontrolü</w:t>
            </w:r>
          </w:p>
        </w:tc>
        <w:tc>
          <w:tcPr/>
          <w:p>
            <w:pPr>
              <w:pStyle w:val="Compact"/>
            </w:pPr>
            <w:r>
              <w:t xml:space="preserve">Kreatinin, potasyum, kan basıncı (McEvoy et al., 2024)</w:t>
            </w:r>
          </w:p>
        </w:tc>
      </w:tr>
      <w:tr>
        <w:tc>
          <w:tcPr/>
          <w:p>
            <w:pPr>
              <w:pStyle w:val="Compact"/>
            </w:pPr>
            <w:r>
              <w:rPr>
                <w:b/>
                <w:bCs/>
              </w:rPr>
              <w:t xml:space="preserve">EcopirinPro / asetilsalisilik asit</w:t>
            </w:r>
          </w:p>
        </w:tc>
        <w:tc>
          <w:tcPr/>
          <w:p>
            <w:pPr>
              <w:pStyle w:val="Compact"/>
            </w:pPr>
            <w:r>
              <w:t xml:space="preserve">81 mg, günde 1 kez</w:t>
            </w:r>
          </w:p>
        </w:tc>
        <w:tc>
          <w:tcPr/>
          <w:p>
            <w:pPr>
              <w:pStyle w:val="Compact"/>
            </w:pPr>
            <w:r>
              <w:t xml:space="preserve">Kayıtlı antitrombotik eşlik</w:t>
            </w:r>
          </w:p>
        </w:tc>
        <w:tc>
          <w:tcPr/>
          <w:p>
            <w:pPr>
              <w:pStyle w:val="Compact"/>
            </w:pPr>
            <w:r>
              <w:t xml:space="preserve">Kanama bulguları ve endikasyonun periyodik yeniden değerlendirilmesi</w:t>
            </w:r>
          </w:p>
        </w:tc>
      </w:tr>
      <w:tr>
        <w:tc>
          <w:tcPr/>
          <w:p>
            <w:pPr>
              <w:pStyle w:val="Compact"/>
            </w:pPr>
            <w:r>
              <w:rPr>
                <w:b/>
                <w:bCs/>
              </w:rPr>
              <w:t xml:space="preserve">Panto / pantoprazol</w:t>
            </w:r>
          </w:p>
        </w:tc>
        <w:tc>
          <w:tcPr/>
          <w:p>
            <w:pPr>
              <w:pStyle w:val="Compact"/>
            </w:pPr>
            <w:r>
              <w:t xml:space="preserve">40 mg, günde 1 kez sabah</w:t>
            </w:r>
          </w:p>
        </w:tc>
        <w:tc>
          <w:tcPr/>
          <w:p>
            <w:pPr>
              <w:pStyle w:val="Compact"/>
            </w:pPr>
            <w:r>
              <w:t xml:space="preserve">Gastrointestinal koruma / mevcut tedavi</w:t>
            </w:r>
          </w:p>
        </w:tc>
        <w:tc>
          <w:tcPr/>
          <w:p>
            <w:pPr>
              <w:pStyle w:val="Compact"/>
            </w:pPr>
            <w:r>
              <w:t xml:space="preserve">Demir emilimi ve gastrointestinal semptomlar</w:t>
            </w:r>
          </w:p>
        </w:tc>
      </w:tr>
      <w:tr>
        <w:tc>
          <w:tcPr/>
          <w:p>
            <w:pPr>
              <w:pStyle w:val="Compact"/>
            </w:pPr>
            <w:r>
              <w:rPr>
                <w:b/>
                <w:bCs/>
              </w:rPr>
              <w:t xml:space="preserve">Ferro Sanol Duodenal</w:t>
            </w:r>
          </w:p>
        </w:tc>
        <w:tc>
          <w:tcPr/>
          <w:p>
            <w:pPr>
              <w:pStyle w:val="Compact"/>
            </w:pPr>
            <w:r>
              <w:t xml:space="preserve">100 mg Fe²⁺, günde 1 kez</w:t>
            </w:r>
          </w:p>
        </w:tc>
        <w:tc>
          <w:tcPr/>
          <w:p>
            <w:pPr>
              <w:pStyle w:val="Compact"/>
            </w:pPr>
            <w:r>
              <w:t xml:space="preserve">Demir eksikliği anemisi</w:t>
            </w:r>
          </w:p>
        </w:tc>
        <w:tc>
          <w:tcPr/>
          <w:p>
            <w:pPr>
              <w:pStyle w:val="Compact"/>
            </w:pPr>
            <w:r>
              <w:t xml:space="preserve">Hemoglobin ve demir indeksleri ile yanıt değerlendirmesi (Snook et al., 2021)</w:t>
            </w:r>
          </w:p>
        </w:tc>
      </w:tr>
      <w:tr>
        <w:tc>
          <w:tcPr/>
          <w:p>
            <w:pPr>
              <w:pStyle w:val="Compact"/>
            </w:pPr>
            <w:r>
              <w:rPr>
                <w:b/>
                <w:bCs/>
              </w:rPr>
              <w:t xml:space="preserve">Kapril / kaptopril</w:t>
            </w:r>
          </w:p>
        </w:tc>
        <w:tc>
          <w:tcPr/>
          <w:p>
            <w:pPr>
              <w:pStyle w:val="Compact"/>
            </w:pPr>
            <w:r>
              <w:t xml:space="preserve">25 mg, gerektiğinde önceki akut hipertansif atak kayıtlarında</w:t>
            </w:r>
          </w:p>
        </w:tc>
        <w:tc>
          <w:tcPr/>
          <w:p>
            <w:pPr>
              <w:pStyle w:val="Compact"/>
            </w:pPr>
            <w:r>
              <w:t xml:space="preserve">Geçmişteki ev hipertansif atakları</w:t>
            </w:r>
          </w:p>
        </w:tc>
        <w:tc>
          <w:tcPr/>
          <w:p>
            <w:pPr>
              <w:pStyle w:val="Compact"/>
            </w:pPr>
            <w:r>
              <w:t xml:space="preserve">Kullanım gereksiniminin hekim tarafından yeniden değerlendirilmesi</w:t>
            </w:r>
          </w:p>
        </w:tc>
      </w:tr>
      <w:tr>
        <w:tc>
          <w:tcPr/>
          <w:p>
            <w:pPr>
              <w:pStyle w:val="Compact"/>
            </w:pPr>
            <w:r>
              <w:rPr>
                <w:b/>
                <w:bCs/>
              </w:rPr>
              <w:t xml:space="preserve">Klamoks</w:t>
            </w:r>
          </w:p>
        </w:tc>
        <w:tc>
          <w:tcPr/>
          <w:p>
            <w:pPr>
              <w:pStyle w:val="Compact"/>
            </w:pPr>
            <w:r>
              <w:t xml:space="preserve">1000 mg, günde 2 kez; 11.09.2026'da tamamlandı</w:t>
            </w:r>
          </w:p>
        </w:tc>
        <w:tc>
          <w:tcPr/>
          <w:p>
            <w:pPr>
              <w:pStyle w:val="Compact"/>
            </w:pPr>
            <w:r>
              <w:t xml:space="preserve">Sternal enfeksiyon tedavi kürü</w:t>
            </w:r>
          </w:p>
        </w:tc>
        <w:tc>
          <w:tcPr/>
          <w:p>
            <w:pPr>
              <w:pStyle w:val="Compact"/>
            </w:pPr>
            <w:r>
              <w:t xml:space="preserve">Aktif tedavi olarak devam etmiyor; INR ve yara bulgusu izlemi</w:t>
            </w:r>
          </w:p>
        </w:tc>
      </w:tr>
    </w:tbl>
    <w:bookmarkEnd w:id="24"/>
    <w:bookmarkStart w:id="30" w:name="X95b855815889b2006a76ce998790f0d37f3a54d"/>
    <w:p>
      <w:pPr>
        <w:pStyle w:val="Heading2"/>
      </w:pPr>
      <w:r>
        <w:t xml:space="preserve">7. Branş Bazlı Eylem Planı</w:t>
      </w:r>
    </w:p>
    <w:bookmarkStart w:id="25" w:name="X4fbe5c17621c403f39536ddb987d8d970391479"/>
    <w:p>
      <w:pPr>
        <w:pStyle w:val="Heading3"/>
      </w:pPr>
      <w:r>
        <w:t xml:space="preserve">7.1 Kardiyoloji / Antikoagülasyon</w:t>
      </w:r>
    </w:p>
    <w:p>
      <w:pPr>
        <w:pStyle w:val="FirstParagraph"/>
      </w:pPr>
      <w:r>
        <w:t xml:space="preserve">15.09.2026 INR 1,95 sonucu, mekanik aort kapağı için 2,0–3,0 klinik aralığının altındadır. Öncelikli işlem, dozun kendi kendine artırılması değil, sorumlu hekim tarafından aynı gün klinik değerlendirme ve kısa aralıkta kontrol planıdır. Hekim; son warfarin dozları, uyum, beslenme, alkol kullanımı, yeni ilaçlar, Klamoks kürünün zamanlaması ve kanama/tromboemboli belirtilerini birlikte değerlendirmelidir (Praz et al., 2025).</w:t>
      </w:r>
    </w:p>
    <w:p>
      <w:pPr>
        <w:pStyle w:val="BodyText"/>
      </w:pPr>
      <w:r>
        <w:t xml:space="preserve">Mekanik kapak trombozu açısından yeni dispne, senkop, yeni embolik bulgu veya protez kapak sesinde belirgin değişiklik gelişirse yalnızca INR sonucu ile yetinilmemeli; acil klinik ve görüntüleme değerlendirmesi gerekir. Protez kapak trombozu şüphesinde ekokardiyografik ve uygun görüntüleme yöntemleri klinik bağlamda kullanılır (Praz et al., 2025).</w:t>
      </w:r>
    </w:p>
    <w:bookmarkEnd w:id="25"/>
    <w:bookmarkStart w:id="26" w:name="X509d380eadf3404e6d901b8ccbb1c5194910f86"/>
    <w:p>
      <w:pPr>
        <w:pStyle w:val="Heading3"/>
      </w:pPr>
      <w:r>
        <w:t xml:space="preserve">7.2 Kalp-Damar Cerrahisi / Aort Ekibi</w:t>
      </w:r>
    </w:p>
    <w:p>
      <w:pPr>
        <w:pStyle w:val="FirstParagraph"/>
      </w:pPr>
      <w:r>
        <w:t xml:space="preserve">Rezidüel patent Tip B diseksiyon flebinin önceki BT anjiyografi ölçümleri ile karşılaştırmalı izlenmesi gerekir. Yeni göğüs veya sırt ağrısı, senkop, yeni nörolojik bulgu, ekstremite iskemisi veya belirgin kan basıncı kontrol kaybı gelişirse acil aort değerlendirmesi gerekir (Isselbacher et al., 2022).</w:t>
      </w:r>
    </w:p>
    <w:bookmarkEnd w:id="26"/>
    <w:bookmarkStart w:id="27" w:name="X6e24af89caf50a68bc50fa1be6cc4ec805d4914"/>
    <w:p>
      <w:pPr>
        <w:pStyle w:val="Heading3"/>
      </w:pPr>
      <w:r>
        <w:t xml:space="preserve">7.3 Enfeksiyon Hastalıkları / KVC Yara Ekibi</w:t>
      </w:r>
    </w:p>
    <w:p>
      <w:pPr>
        <w:pStyle w:val="FirstParagraph"/>
      </w:pPr>
      <w:r>
        <w:t xml:space="preserve">CRP'nin 11,3'ten 5,7 mg/L'ye inmesi inflamatuvar yükte gerileme lehinedir. Bununla birlikte Temmuz sonunda ciddi sternal komplikasyon öyküsü ve prostetik materyal varlığı nedeniyle yara yerinin klinik görünümü CRP'den bağımsız olarak takip edilmelidir. Ateş, titreme, pürülan akıntı, yara açılması veya embolik bulgu varsa kan kültürleri ve hedefli ekokardiyografi değerlendirilmelidir (Delgado et al., 2023).</w:t>
      </w:r>
    </w:p>
    <w:bookmarkEnd w:id="27"/>
    <w:bookmarkStart w:id="28" w:name="X612059d526bbc701497b07cba8a39f855c6d9f8"/>
    <w:p>
      <w:pPr>
        <w:pStyle w:val="Heading3"/>
      </w:pPr>
      <w:r>
        <w:t xml:space="preserve">7.4 Hematoloji / Gastroenteroloji</w:t>
      </w:r>
    </w:p>
    <w:p>
      <w:pPr>
        <w:pStyle w:val="FirstParagraph"/>
      </w:pPr>
      <w:r>
        <w:t xml:space="preserve">Hemoglobin 9,7 g/dL, MCV 76,7 fL, ferritin 19 µg/L ve demir 15 µg/dL demir eksikliği ile uyumlu bir tablodur. Erkek hastada demir eksikliği anemisinin yalnızca replasmanla yönetilmemesi; gastrointestinal kan kaybı ve diğer nedenlerin klinik uygunluk içinde araştırılması gerekir (Snook et al., 2021).</w:t>
      </w:r>
    </w:p>
    <w:p>
      <w:pPr>
        <w:pStyle w:val="BodyText"/>
      </w:pPr>
      <w:r>
        <w:t xml:space="preserve">Ferro Sanol Duodenal tedavisine uyum ve tolerans izlenmeli, gereğinde hemoglobin ve demir indeksleri yeniden ölçülmelidir. Yetersiz yanıt, devam eden kanama, emilim bozukluğu veya oral demir intoleransı gelişmesi halinde intravenöz demir seçeneği ilgili hekim tarafından değerlendirilmelidir (Camaschella, 2015; Snook et al., 2021).</w:t>
      </w:r>
    </w:p>
    <w:bookmarkEnd w:id="28"/>
    <w:bookmarkStart w:id="29" w:name="X9394c9beed8b9127f8bb70bd8e7e1dc3222afc3"/>
    <w:p>
      <w:pPr>
        <w:pStyle w:val="Heading3"/>
      </w:pPr>
      <w:r>
        <w:t xml:space="preserve">7.5 Böbrek ve Metabolizma</w:t>
      </w:r>
    </w:p>
    <w:p>
      <w:pPr>
        <w:pStyle w:val="FirstParagraph"/>
      </w:pPr>
      <w:r>
        <w:t xml:space="preserve">Kreatinin 1,11 mg/dL ve eGFR 70,89 mL/dk/1,73 m² mevcut kayıtta stabil kabul edilebilecek bir aralıkta seyretmektedir. Potasyum 5,05 mmol/L laboratuvar aralığı içinde ancak üst sınıra yakın olduğundan ACE inhibitörü tedavisi sürerken tekrar biyokimya kontrolü klinik olarak uygundur. Bu rapor tek bir potasyum ölçümünden hiperpotasemi tanısı çıkarmaz.</w:t>
      </w:r>
    </w:p>
    <w:bookmarkEnd w:id="29"/>
    <w:bookmarkEnd w:id="30"/>
    <w:bookmarkStart w:id="31" w:name="X81048061f3fd475c1706909bb0b212fbec10b9c"/>
    <w:p>
      <w:pPr>
        <w:pStyle w:val="Heading2"/>
      </w:pPr>
      <w:r>
        <w:t xml:space="preserve">8. Önceliklendirilmiş Klinik İzlem</w:t>
      </w:r>
    </w:p>
    <w:p>
      <w:pPr>
        <w:pStyle w:val="FirstParagraph"/>
      </w:pPr>
      <w:r>
        <w:rPr>
          <w:b/>
          <w:bCs/>
        </w:rPr>
        <w:t xml:space="preserve">Öncelik 1 — INR:</w:t>
      </w:r>
      <w:r>
        <w:t xml:space="preserve"> </w:t>
      </w:r>
      <w:r>
        <w:t xml:space="preserve">15.09.2026 INR 1,95 için sorumlu antikoagülasyon hekimiyle gecikmeden temas, klinik etkileşim/uyum değerlendirmesi ve hekim gözetiminde warfarin yeniden titrasyonu. Yeni INR kontrolünün zamanlaması klinik risk ve yapılacak doz değişikliğine göre belirlenmelidir (Praz et al., 2025).</w:t>
      </w:r>
    </w:p>
    <w:p>
      <w:pPr>
        <w:pStyle w:val="BodyText"/>
      </w:pPr>
      <w:r>
        <w:rPr>
          <w:b/>
          <w:bCs/>
        </w:rPr>
        <w:t xml:space="preserve">Öncelik 2 — Demir eksikliği anemisi:</w:t>
      </w:r>
      <w:r>
        <w:t xml:space="preserve"> </w:t>
      </w:r>
      <w:r>
        <w:t xml:space="preserve">Ferro Sanol Duodenal 100 mg Fe²⁺ tedavisinin sürdürülmesi ve hemoglobin yanıtının izlenmesi; erkek hastada gizli kan kaybı ve gastrointestinal nedenlerin araştırılması (Snook et al., 2021).</w:t>
      </w:r>
    </w:p>
    <w:p>
      <w:pPr>
        <w:pStyle w:val="BodyText"/>
      </w:pPr>
      <w:r>
        <w:rPr>
          <w:b/>
          <w:bCs/>
        </w:rPr>
        <w:t xml:space="preserve">Öncelik 3 — Sternal enfeksiyon izlemi:</w:t>
      </w:r>
      <w:r>
        <w:t xml:space="preserve"> </w:t>
      </w:r>
      <w:r>
        <w:t xml:space="preserve">CRP gerilemesi olumlu olmakla birlikte yara muayenesinin sürdürülmesi; sistemik bulgu ortaya çıkarsa kan kültürü ve prostetik kapak değerlendirmesi (Delgado et al., 2023).</w:t>
      </w:r>
    </w:p>
    <w:p>
      <w:pPr>
        <w:pStyle w:val="BodyText"/>
      </w:pPr>
      <w:r>
        <w:rPr>
          <w:b/>
          <w:bCs/>
        </w:rPr>
        <w:t xml:space="preserve">Öncelik 4 — Rezidüel aort diseksiyonu:</w:t>
      </w:r>
      <w:r>
        <w:t xml:space="preserve"> </w:t>
      </w:r>
      <w:r>
        <w:t xml:space="preserve">Önceki BT anjiyografilerle karşılaştırmalı görüntüleme planının kalp-damar cerrahisi/aort ekibi tarafından sürdürülmesi (Isselbacher et al., 2022).</w:t>
      </w:r>
    </w:p>
    <w:p>
      <w:pPr>
        <w:pStyle w:val="BodyText"/>
      </w:pPr>
      <w:r>
        <w:rPr>
          <w:b/>
          <w:bCs/>
        </w:rPr>
        <w:t xml:space="preserve">Öncelik 5 — Hemodinamik tedavi:</w:t>
      </w:r>
      <w:r>
        <w:t xml:space="preserve"> </w:t>
      </w:r>
      <w:r>
        <w:t xml:space="preserve">113/75 mmHg ev ortalamasının semptom ve ortostatik tolerans ile birlikte değerlendirilmesi; beta-bloker ve ACE inhibitörü tedavisinin bu bağlamda izlenmesi (McEvoy et al., 2024).</w:t>
      </w:r>
    </w:p>
    <w:bookmarkEnd w:id="31"/>
    <w:bookmarkStart w:id="32" w:name="X77fd06d80807fd4f0f3d1d0e9d99c7fd8e8e76a"/>
    <w:p>
      <w:pPr>
        <w:pStyle w:val="Heading2"/>
      </w:pPr>
      <w:r>
        <w:t xml:space="preserve">9. Kırmızı Bayraklar</w:t>
      </w:r>
    </w:p>
    <w:p>
      <w:pPr>
        <w:pStyle w:val="FirstParagraph"/>
      </w:pPr>
      <w:r>
        <w:t xml:space="preserve">Aşağıdaki bulgulardan herhangi biri ortaya çıktığında rutin poliklinik kontrolü beklenmeden acil tıbbi değerlendirme gerekir:</w:t>
      </w:r>
    </w:p>
    <w:p>
      <w:pPr>
        <w:pStyle w:val="Compact"/>
        <w:numPr>
          <w:ilvl w:val="0"/>
          <w:numId w:val="1001"/>
        </w:numPr>
      </w:pPr>
      <w:r>
        <w:t xml:space="preserve">Ani başlayan yeni ve şiddetli göğüs, sırt veya karın ağrısı (Isselbacher et al., 2022).</w:t>
      </w:r>
    </w:p>
    <w:p>
      <w:pPr>
        <w:pStyle w:val="Compact"/>
        <w:numPr>
          <w:ilvl w:val="0"/>
          <w:numId w:val="1001"/>
        </w:numPr>
      </w:pPr>
      <w:r>
        <w:t xml:space="preserve">Yeni konuşma bozukluğu, tek taraflı güçsüzlük, görme kaybı veya başka fokal nörolojik bulgu.</w:t>
      </w:r>
    </w:p>
    <w:p>
      <w:pPr>
        <w:pStyle w:val="Compact"/>
        <w:numPr>
          <w:ilvl w:val="0"/>
          <w:numId w:val="1001"/>
        </w:numPr>
      </w:pPr>
      <w:r>
        <w:t xml:space="preserve">Yeni gelişen dispne, senkop, belirgin çarpıntı veya protez kapak sesinde değişiklik.</w:t>
      </w:r>
    </w:p>
    <w:p>
      <w:pPr>
        <w:pStyle w:val="Compact"/>
        <w:numPr>
          <w:ilvl w:val="0"/>
          <w:numId w:val="1001"/>
        </w:numPr>
      </w:pPr>
      <w:r>
        <w:t xml:space="preserve">Ateş, titreme, pürülan sternal yara akıntısı veya yara açılması; prostetik materyal varlığında enfektif endokardit açısından değerlendirme gerekir (Delgado et al., 2023).</w:t>
      </w:r>
    </w:p>
    <w:p>
      <w:pPr>
        <w:pStyle w:val="Compact"/>
        <w:numPr>
          <w:ilvl w:val="0"/>
          <w:numId w:val="1001"/>
        </w:numPr>
      </w:pPr>
      <w:r>
        <w:t xml:space="preserve">Durmayan kanama, hematemez, melena veya belirgin hematokezya; mekanik kapak antikoagülasyonu ile birlikte kanama riski açısından acil değerlendirme gerekir (Praz et al., 2025).</w:t>
      </w:r>
    </w:p>
    <w:bookmarkEnd w:id="32"/>
    <w:bookmarkStart w:id="33" w:name="X844e863d0b88568a0c88fedfee52053a7fccdd7"/>
    <w:p>
      <w:pPr>
        <w:pStyle w:val="Heading2"/>
      </w:pPr>
      <w:r>
        <w:t xml:space="preserve">10. Veri Kalitesi ve Yorumlama Sınırları</w:t>
      </w:r>
    </w:p>
    <w:p>
      <w:pPr>
        <w:pStyle w:val="FirstParagraph"/>
      </w:pPr>
      <w:r>
        <w:t xml:space="preserve">Bu çalışma için ham, zaman damgalı</w:t>
      </w:r>
      <w:r>
        <w:t xml:space="preserve"> </w:t>
      </w:r>
      <w:r>
        <w:rPr>
          <w:rStyle w:val="VerbatimChar"/>
        </w:rPr>
        <w:t xml:space="preserve">TestItem</w:t>
      </w:r>
      <w:r>
        <w:t xml:space="preserve">, ilaç değişiklikleri, tansiyon ve kilo kayıtları öncelikli veri kaynağı kabul edilmiştir. Dışa aktarım içindeki otomatik “klinik değerlendirme” metni bazı toplam ve ortalama değerleri ham kayıtlarla tam eşleştirmemektedir. Ayrıca bazı otomatik özetlerde “ilaç değişikliği yok” ifadesi bulunurken 04.09.2026 Klamoks başlangıcı, 11.09.2026 Ferro Sanol Duodenal başlangıcı ve önceki warfarin doz değişiklikleri ham ilaç değişiklik kayıtlarında görülmektedir. Bu nedenle raporda tarih damgası ve ham kayıtlar esas alınmıştır.</w:t>
      </w:r>
    </w:p>
    <w:p>
      <w:pPr>
        <w:pStyle w:val="BodyText"/>
      </w:pPr>
      <w:r>
        <w:t xml:space="preserve">Özellikle ferritin, serum demiri, UIBC ve B12 değerleri 08.09.2026 Test #90'a aittir. 15.09.2026 Test #93 içinde bu dört parametre bulunmadığından 15 Eylül sonucu olarak sunulmamıştır. Bu ayrım, kullanıcının “tek gerçek kaynak” olarak belirttiği nihai JSON'un içeriğiyle uyumludur.</w:t>
      </w:r>
    </w:p>
    <w:bookmarkEnd w:id="33"/>
    <w:bookmarkStart w:id="34" w:name="X7424daa023bc2e7e588082fdbd3fc4ce2107f44"/>
    <w:p>
      <w:pPr>
        <w:pStyle w:val="Heading2"/>
      </w:pPr>
      <w:r>
        <w:t xml:space="preserve">11. Ham INR Serisi — Antikoagülasyon Denetimi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Tarih</w:t>
            </w:r>
          </w:p>
        </w:tc>
        <w:tc>
          <w:tcPr/>
          <w:p>
            <w:pPr>
              <w:pStyle w:val="Compact"/>
              <w:jc w:val="right"/>
            </w:pPr>
            <w:r>
              <w:t xml:space="preserve">INR</w:t>
            </w:r>
          </w:p>
        </w:tc>
        <w:tc>
          <w:tcPr/>
          <w:p>
            <w:pPr>
              <w:pStyle w:val="Compact"/>
            </w:pPr>
            <w:r>
              <w:t xml:space="preserve">Klinik durum</w:t>
            </w:r>
          </w:p>
        </w:tc>
      </w:tr>
      <w:tr>
        <w:tc>
          <w:tcPr/>
          <w:p>
            <w:pPr>
              <w:pStyle w:val="Compact"/>
            </w:pPr>
            <w:r>
              <w:t xml:space="preserve">08.04.2026</w:t>
            </w:r>
          </w:p>
        </w:tc>
        <w:tc>
          <w:tcPr/>
          <w:p>
            <w:pPr>
              <w:pStyle w:val="Compact"/>
              <w:jc w:val="right"/>
            </w:pPr>
            <w:r>
              <w:t xml:space="preserve">2,92</w:t>
            </w:r>
          </w:p>
        </w:tc>
        <w:tc>
          <w:tcPr/>
          <w:p>
            <w:pPr>
              <w:pStyle w:val="Compact"/>
            </w:pPr>
            <w:r>
              <w:t xml:space="preserve">Hedef içi</w:t>
            </w:r>
          </w:p>
        </w:tc>
      </w:tr>
      <w:tr>
        <w:tc>
          <w:tcPr/>
          <w:p>
            <w:pPr>
              <w:pStyle w:val="Compact"/>
            </w:pPr>
            <w:r>
              <w:t xml:space="preserve">20.04.2026</w:t>
            </w:r>
          </w:p>
        </w:tc>
        <w:tc>
          <w:tcPr/>
          <w:p>
            <w:pPr>
              <w:pStyle w:val="Compact"/>
              <w:jc w:val="right"/>
            </w:pPr>
            <w:r>
              <w:t xml:space="preserve">2,03</w:t>
            </w:r>
          </w:p>
        </w:tc>
        <w:tc>
          <w:tcPr/>
          <w:p>
            <w:pPr>
              <w:pStyle w:val="Compact"/>
            </w:pPr>
            <w:r>
              <w:t xml:space="preserve">Hedef içi</w:t>
            </w:r>
          </w:p>
        </w:tc>
      </w:tr>
      <w:tr>
        <w:tc>
          <w:tcPr/>
          <w:p>
            <w:pPr>
              <w:pStyle w:val="Compact"/>
            </w:pPr>
            <w:r>
              <w:t xml:space="preserve">05.05.2026</w:t>
            </w:r>
          </w:p>
        </w:tc>
        <w:tc>
          <w:tcPr/>
          <w:p>
            <w:pPr>
              <w:pStyle w:val="Compact"/>
              <w:jc w:val="right"/>
            </w:pPr>
            <w:r>
              <w:t xml:space="preserve">1,77</w:t>
            </w:r>
          </w:p>
        </w:tc>
        <w:tc>
          <w:tcPr/>
          <w:p>
            <w:pPr>
              <w:pStyle w:val="Compact"/>
            </w:pPr>
            <w:r>
              <w:t xml:space="preserve">Düşük</w:t>
            </w:r>
          </w:p>
        </w:tc>
      </w:tr>
      <w:tr>
        <w:tc>
          <w:tcPr/>
          <w:p>
            <w:pPr>
              <w:pStyle w:val="Compact"/>
            </w:pPr>
            <w:r>
              <w:t xml:space="preserve">12.05.2026</w:t>
            </w:r>
          </w:p>
        </w:tc>
        <w:tc>
          <w:tcPr/>
          <w:p>
            <w:pPr>
              <w:pStyle w:val="Compact"/>
              <w:jc w:val="right"/>
            </w:pPr>
            <w:r>
              <w:t xml:space="preserve">1,65</w:t>
            </w:r>
          </w:p>
        </w:tc>
        <w:tc>
          <w:tcPr/>
          <w:p>
            <w:pPr>
              <w:pStyle w:val="Compact"/>
            </w:pPr>
            <w:r>
              <w:t xml:space="preserve">Düşük</w:t>
            </w:r>
          </w:p>
        </w:tc>
      </w:tr>
      <w:tr>
        <w:tc>
          <w:tcPr/>
          <w:p>
            <w:pPr>
              <w:pStyle w:val="Compact"/>
            </w:pPr>
            <w:r>
              <w:t xml:space="preserve">13.05.2026</w:t>
            </w:r>
          </w:p>
        </w:tc>
        <w:tc>
          <w:tcPr/>
          <w:p>
            <w:pPr>
              <w:pStyle w:val="Compact"/>
              <w:jc w:val="right"/>
            </w:pPr>
            <w:r>
              <w:t xml:space="preserve">1,94</w:t>
            </w:r>
          </w:p>
        </w:tc>
        <w:tc>
          <w:tcPr/>
          <w:p>
            <w:pPr>
              <w:pStyle w:val="Compact"/>
            </w:pPr>
            <w:r>
              <w:t xml:space="preserve">Düşük</w:t>
            </w:r>
          </w:p>
        </w:tc>
      </w:tr>
      <w:tr>
        <w:tc>
          <w:tcPr/>
          <w:p>
            <w:pPr>
              <w:pStyle w:val="Compact"/>
            </w:pPr>
            <w:r>
              <w:t xml:space="preserve">22.05.2026</w:t>
            </w:r>
          </w:p>
        </w:tc>
        <w:tc>
          <w:tcPr/>
          <w:p>
            <w:pPr>
              <w:pStyle w:val="Compact"/>
              <w:jc w:val="right"/>
            </w:pPr>
            <w:r>
              <w:t xml:space="preserve">2,05</w:t>
            </w:r>
          </w:p>
        </w:tc>
        <w:tc>
          <w:tcPr/>
          <w:p>
            <w:pPr>
              <w:pStyle w:val="Compact"/>
            </w:pPr>
            <w:r>
              <w:t xml:space="preserve">Hedef içi</w:t>
            </w:r>
          </w:p>
        </w:tc>
      </w:tr>
      <w:tr>
        <w:tc>
          <w:tcPr/>
          <w:p>
            <w:pPr>
              <w:pStyle w:val="Compact"/>
            </w:pPr>
            <w:r>
              <w:t xml:space="preserve">15.06.2026</w:t>
            </w:r>
          </w:p>
        </w:tc>
        <w:tc>
          <w:tcPr/>
          <w:p>
            <w:pPr>
              <w:pStyle w:val="Compact"/>
              <w:jc w:val="right"/>
            </w:pPr>
            <w:r>
              <w:t xml:space="preserve">2,18</w:t>
            </w:r>
          </w:p>
        </w:tc>
        <w:tc>
          <w:tcPr/>
          <w:p>
            <w:pPr>
              <w:pStyle w:val="Compact"/>
            </w:pPr>
            <w:r>
              <w:t xml:space="preserve">Hedef içi</w:t>
            </w:r>
          </w:p>
        </w:tc>
      </w:tr>
      <w:tr>
        <w:tc>
          <w:tcPr/>
          <w:p>
            <w:pPr>
              <w:pStyle w:val="Compact"/>
            </w:pPr>
            <w:r>
              <w:t xml:space="preserve">15.07.2026</w:t>
            </w:r>
          </w:p>
        </w:tc>
        <w:tc>
          <w:tcPr/>
          <w:p>
            <w:pPr>
              <w:pStyle w:val="Compact"/>
              <w:jc w:val="right"/>
            </w:pPr>
            <w:r>
              <w:t xml:space="preserve">2,46</w:t>
            </w:r>
          </w:p>
        </w:tc>
        <w:tc>
          <w:tcPr/>
          <w:p>
            <w:pPr>
              <w:pStyle w:val="Compact"/>
            </w:pPr>
            <w:r>
              <w:t xml:space="preserve">Hedef içi</w:t>
            </w:r>
          </w:p>
        </w:tc>
      </w:tr>
      <w:tr>
        <w:tc>
          <w:tcPr/>
          <w:p>
            <w:pPr>
              <w:pStyle w:val="Compact"/>
            </w:pPr>
            <w:r>
              <w:t xml:space="preserve">23.07.2026</w:t>
            </w:r>
          </w:p>
        </w:tc>
        <w:tc>
          <w:tcPr/>
          <w:p>
            <w:pPr>
              <w:pStyle w:val="Compact"/>
              <w:jc w:val="right"/>
            </w:pPr>
            <w:r>
              <w:t xml:space="preserve">1,79</w:t>
            </w:r>
          </w:p>
        </w:tc>
        <w:tc>
          <w:tcPr/>
          <w:p>
            <w:pPr>
              <w:pStyle w:val="Compact"/>
            </w:pPr>
            <w:r>
              <w:t xml:space="preserve">Düşük</w:t>
            </w:r>
          </w:p>
        </w:tc>
      </w:tr>
      <w:tr>
        <w:tc>
          <w:tcPr/>
          <w:p>
            <w:pPr>
              <w:pStyle w:val="Compact"/>
            </w:pPr>
            <w:r>
              <w:t xml:space="preserve">25.07.2026</w:t>
            </w:r>
          </w:p>
        </w:tc>
        <w:tc>
          <w:tcPr/>
          <w:p>
            <w:pPr>
              <w:pStyle w:val="Compact"/>
              <w:jc w:val="right"/>
            </w:pPr>
            <w:r>
              <w:t xml:space="preserve">1,70</w:t>
            </w:r>
          </w:p>
        </w:tc>
        <w:tc>
          <w:tcPr/>
          <w:p>
            <w:pPr>
              <w:pStyle w:val="Compact"/>
            </w:pPr>
            <w:r>
              <w:t xml:space="preserve">Düşük</w:t>
            </w:r>
          </w:p>
        </w:tc>
      </w:tr>
      <w:tr>
        <w:tc>
          <w:tcPr/>
          <w:p>
            <w:pPr>
              <w:pStyle w:val="Compact"/>
            </w:pPr>
            <w:r>
              <w:t xml:space="preserve">26.07.2026</w:t>
            </w:r>
          </w:p>
        </w:tc>
        <w:tc>
          <w:tcPr/>
          <w:p>
            <w:pPr>
              <w:pStyle w:val="Compact"/>
              <w:jc w:val="right"/>
            </w:pPr>
            <w:r>
              <w:t xml:space="preserve">1,38</w:t>
            </w:r>
          </w:p>
        </w:tc>
        <w:tc>
          <w:tcPr/>
          <w:p>
            <w:pPr>
              <w:pStyle w:val="Compact"/>
            </w:pPr>
            <w:r>
              <w:t xml:space="preserve">Düşük</w:t>
            </w:r>
          </w:p>
        </w:tc>
      </w:tr>
      <w:tr>
        <w:tc>
          <w:tcPr/>
          <w:p>
            <w:pPr>
              <w:pStyle w:val="Compact"/>
            </w:pPr>
            <w:r>
              <w:t xml:space="preserve">27.07.2026</w:t>
            </w:r>
          </w:p>
        </w:tc>
        <w:tc>
          <w:tcPr/>
          <w:p>
            <w:pPr>
              <w:pStyle w:val="Compact"/>
              <w:jc w:val="right"/>
            </w:pPr>
            <w:r>
              <w:t xml:space="preserve">1,17</w:t>
            </w:r>
          </w:p>
        </w:tc>
        <w:tc>
          <w:tcPr/>
          <w:p>
            <w:pPr>
              <w:pStyle w:val="Compact"/>
            </w:pPr>
            <w:r>
              <w:t xml:space="preserve">Düşük</w:t>
            </w:r>
          </w:p>
        </w:tc>
      </w:tr>
      <w:tr>
        <w:tc>
          <w:tcPr/>
          <w:p>
            <w:pPr>
              <w:pStyle w:val="Compact"/>
            </w:pPr>
            <w:r>
              <w:t xml:space="preserve">31.07.2026</w:t>
            </w:r>
          </w:p>
        </w:tc>
        <w:tc>
          <w:tcPr/>
          <w:p>
            <w:pPr>
              <w:pStyle w:val="Compact"/>
              <w:jc w:val="right"/>
            </w:pPr>
            <w:r>
              <w:t xml:space="preserve">1,18</w:t>
            </w:r>
          </w:p>
        </w:tc>
        <w:tc>
          <w:tcPr/>
          <w:p>
            <w:pPr>
              <w:pStyle w:val="Compact"/>
            </w:pPr>
            <w:r>
              <w:t xml:space="preserve">Düşük</w:t>
            </w:r>
          </w:p>
        </w:tc>
      </w:tr>
      <w:tr>
        <w:tc>
          <w:tcPr/>
          <w:p>
            <w:pPr>
              <w:pStyle w:val="Compact"/>
            </w:pPr>
            <w:r>
              <w:t xml:space="preserve">03.08.2026</w:t>
            </w:r>
          </w:p>
        </w:tc>
        <w:tc>
          <w:tcPr/>
          <w:p>
            <w:pPr>
              <w:pStyle w:val="Compact"/>
              <w:jc w:val="right"/>
            </w:pPr>
            <w:r>
              <w:t xml:space="preserve">1,21</w:t>
            </w:r>
          </w:p>
        </w:tc>
        <w:tc>
          <w:tcPr/>
          <w:p>
            <w:pPr>
              <w:pStyle w:val="Compact"/>
            </w:pPr>
            <w:r>
              <w:t xml:space="preserve">Düşük</w:t>
            </w:r>
          </w:p>
        </w:tc>
      </w:tr>
      <w:tr>
        <w:tc>
          <w:tcPr/>
          <w:p>
            <w:pPr>
              <w:pStyle w:val="Compact"/>
            </w:pPr>
            <w:r>
              <w:t xml:space="preserve">07.08.2026</w:t>
            </w:r>
          </w:p>
        </w:tc>
        <w:tc>
          <w:tcPr/>
          <w:p>
            <w:pPr>
              <w:pStyle w:val="Compact"/>
              <w:jc w:val="right"/>
            </w:pPr>
            <w:r>
              <w:t xml:space="preserve">1,55</w:t>
            </w:r>
          </w:p>
        </w:tc>
        <w:tc>
          <w:tcPr/>
          <w:p>
            <w:pPr>
              <w:pStyle w:val="Compact"/>
            </w:pPr>
            <w:r>
              <w:t xml:space="preserve">Düşük</w:t>
            </w:r>
          </w:p>
        </w:tc>
      </w:tr>
      <w:tr>
        <w:tc>
          <w:tcPr/>
          <w:p>
            <w:pPr>
              <w:pStyle w:val="Compact"/>
            </w:pPr>
            <w:r>
              <w:t xml:space="preserve">11.08.2026</w:t>
            </w:r>
          </w:p>
        </w:tc>
        <w:tc>
          <w:tcPr/>
          <w:p>
            <w:pPr>
              <w:pStyle w:val="Compact"/>
              <w:jc w:val="right"/>
            </w:pPr>
            <w:r>
              <w:t xml:space="preserve">1,70</w:t>
            </w:r>
          </w:p>
        </w:tc>
        <w:tc>
          <w:tcPr/>
          <w:p>
            <w:pPr>
              <w:pStyle w:val="Compact"/>
            </w:pPr>
            <w:r>
              <w:t xml:space="preserve">Düşük</w:t>
            </w:r>
          </w:p>
        </w:tc>
      </w:tr>
      <w:tr>
        <w:tc>
          <w:tcPr/>
          <w:p>
            <w:pPr>
              <w:pStyle w:val="Compact"/>
            </w:pPr>
            <w:r>
              <w:t xml:space="preserve">18.08.2026</w:t>
            </w:r>
          </w:p>
        </w:tc>
        <w:tc>
          <w:tcPr/>
          <w:p>
            <w:pPr>
              <w:pStyle w:val="Compact"/>
              <w:jc w:val="right"/>
            </w:pPr>
            <w:r>
              <w:t xml:space="preserve">2,59</w:t>
            </w:r>
          </w:p>
        </w:tc>
        <w:tc>
          <w:tcPr/>
          <w:p>
            <w:pPr>
              <w:pStyle w:val="Compact"/>
            </w:pPr>
            <w:r>
              <w:t xml:space="preserve">Hedef içi</w:t>
            </w:r>
          </w:p>
        </w:tc>
      </w:tr>
      <w:tr>
        <w:tc>
          <w:tcPr/>
          <w:p>
            <w:pPr>
              <w:pStyle w:val="Compact"/>
            </w:pPr>
            <w:r>
              <w:t xml:space="preserve">25.08.2026</w:t>
            </w:r>
          </w:p>
        </w:tc>
        <w:tc>
          <w:tcPr/>
          <w:p>
            <w:pPr>
              <w:pStyle w:val="Compact"/>
              <w:jc w:val="right"/>
            </w:pPr>
            <w:r>
              <w:t xml:space="preserve">2,76</w:t>
            </w:r>
          </w:p>
        </w:tc>
        <w:tc>
          <w:tcPr/>
          <w:p>
            <w:pPr>
              <w:pStyle w:val="Compact"/>
            </w:pPr>
            <w:r>
              <w:t xml:space="preserve">Hedef içi</w:t>
            </w:r>
          </w:p>
        </w:tc>
      </w:tr>
      <w:tr>
        <w:tc>
          <w:tcPr/>
          <w:p>
            <w:pPr>
              <w:pStyle w:val="Compact"/>
            </w:pPr>
            <w:r>
              <w:t xml:space="preserve">02.09.2026</w:t>
            </w:r>
          </w:p>
        </w:tc>
        <w:tc>
          <w:tcPr/>
          <w:p>
            <w:pPr>
              <w:pStyle w:val="Compact"/>
              <w:jc w:val="right"/>
            </w:pPr>
            <w:r>
              <w:t xml:space="preserve">2,72</w:t>
            </w:r>
          </w:p>
        </w:tc>
        <w:tc>
          <w:tcPr/>
          <w:p>
            <w:pPr>
              <w:pStyle w:val="Compact"/>
            </w:pPr>
            <w:r>
              <w:t xml:space="preserve">Hedef içi</w:t>
            </w:r>
          </w:p>
        </w:tc>
      </w:tr>
      <w:tr>
        <w:tc>
          <w:tcPr/>
          <w:p>
            <w:pPr>
              <w:pStyle w:val="Compact"/>
            </w:pPr>
            <w:r>
              <w:t xml:space="preserve">10.09.2026</w:t>
            </w:r>
          </w:p>
        </w:tc>
        <w:tc>
          <w:tcPr/>
          <w:p>
            <w:pPr>
              <w:pStyle w:val="Compact"/>
              <w:jc w:val="right"/>
            </w:pPr>
            <w:r>
              <w:t xml:space="preserve">2,12</w:t>
            </w:r>
          </w:p>
        </w:tc>
        <w:tc>
          <w:tcPr/>
          <w:p>
            <w:pPr>
              <w:pStyle w:val="Compact"/>
            </w:pPr>
            <w:r>
              <w:t xml:space="preserve">Hedef içi</w:t>
            </w:r>
          </w:p>
        </w:tc>
      </w:tr>
      <w:tr>
        <w:tc>
          <w:tcPr/>
          <w:p>
            <w:pPr>
              <w:pStyle w:val="Compact"/>
            </w:pPr>
            <w:r>
              <w:t xml:space="preserve">15.09.2026</w:t>
            </w:r>
          </w:p>
        </w:tc>
        <w:tc>
          <w:tcPr/>
          <w:p>
            <w:pPr>
              <w:pStyle w:val="Compact"/>
              <w:jc w:val="right"/>
            </w:pPr>
            <w:r>
              <w:rPr>
                <w:b/>
                <w:bCs/>
              </w:rPr>
              <w:t xml:space="preserve">1,95</w:t>
            </w:r>
          </w:p>
        </w:tc>
        <w:tc>
          <w:tcPr/>
          <w:p>
            <w:pPr>
              <w:pStyle w:val="Compact"/>
            </w:pPr>
            <w:r>
              <w:rPr>
                <w:b/>
                <w:bCs/>
              </w:rPr>
              <w:t xml:space="preserve">Hedef altı</w:t>
            </w:r>
          </w:p>
        </w:tc>
      </w:tr>
    </w:tbl>
    <w:p>
      <w:pPr>
        <w:pStyle w:val="BodyText"/>
      </w:pPr>
      <w:r>
        <w:t xml:space="preserve">Mekanik aort kapağı için hedef aralık 2,0–3,0 kabul edildiğinde 15.09.2026 sonucu yalnızca 0,05 birim ile alt sınırın altındadır. Risk değerlendirmesi, INR'nin tek bir anlık değeri yerine tedavi geçmişi ve mekanik kapak özellikleri ile birlikte yapılmalıdır (Praz et al., 2025).</w:t>
      </w:r>
    </w:p>
    <w:bookmarkEnd w:id="34"/>
    <w:bookmarkStart w:id="35" w:name="X5bd7ac33b70d06ee1e5e4d5cf4e0456ba54727f"/>
    <w:p>
      <w:pPr>
        <w:pStyle w:val="Heading2"/>
      </w:pPr>
      <w:r>
        <w:t xml:space="preserve">12. 15 Eylül 2026 Test #93 Özet Paneli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Kod</w:t>
            </w:r>
          </w:p>
        </w:tc>
        <w:tc>
          <w:tcPr/>
          <w:p>
            <w:pPr>
              <w:pStyle w:val="Compact"/>
              <w:jc w:val="right"/>
            </w:pPr>
            <w:r>
              <w:t xml:space="preserve">Sonuç</w:t>
            </w:r>
          </w:p>
        </w:tc>
        <w:tc>
          <w:tcPr/>
          <w:p>
            <w:pPr>
              <w:pStyle w:val="Compact"/>
            </w:pPr>
            <w:r>
              <w:t xml:space="preserve">Referans</w:t>
            </w:r>
          </w:p>
        </w:tc>
        <w:tc>
          <w:tcPr/>
          <w:p>
            <w:pPr>
              <w:pStyle w:val="Compact"/>
            </w:pPr>
            <w:r>
              <w:t xml:space="preserve">Değerlendirme</w:t>
            </w:r>
          </w:p>
        </w:tc>
      </w:tr>
      <w:tr>
        <w:tc>
          <w:tcPr/>
          <w:p>
            <w:pPr>
              <w:pStyle w:val="Compact"/>
            </w:pPr>
            <w:r>
              <w:t xml:space="preserve">INR</w:t>
            </w:r>
          </w:p>
        </w:tc>
        <w:tc>
          <w:tcPr/>
          <w:p>
            <w:pPr>
              <w:pStyle w:val="Compact"/>
              <w:jc w:val="right"/>
            </w:pPr>
            <w:r>
              <w:t xml:space="preserve">1,95</w:t>
            </w:r>
          </w:p>
        </w:tc>
        <w:tc>
          <w:tcPr/>
          <w:p>
            <w:pPr>
              <w:pStyle w:val="Compact"/>
            </w:pPr>
            <w:r>
              <w:t xml:space="preserve">Klinik hedef 2,0–3,0</w:t>
            </w:r>
          </w:p>
        </w:tc>
        <w:tc>
          <w:tcPr/>
          <w:p>
            <w:pPr>
              <w:pStyle w:val="Compact"/>
            </w:pPr>
            <w:r>
              <w:t xml:space="preserve">Hedef altı</w:t>
            </w:r>
          </w:p>
        </w:tc>
      </w:tr>
      <w:tr>
        <w:tc>
          <w:tcPr/>
          <w:p>
            <w:pPr>
              <w:pStyle w:val="Compact"/>
            </w:pPr>
            <w:r>
              <w:t xml:space="preserve">PT</w:t>
            </w:r>
          </w:p>
        </w:tc>
        <w:tc>
          <w:tcPr/>
          <w:p>
            <w:pPr>
              <w:pStyle w:val="Compact"/>
              <w:jc w:val="right"/>
            </w:pPr>
            <w:r>
              <w:t xml:space="preserve">18,4 sn</w:t>
            </w:r>
          </w:p>
        </w:tc>
        <w:tc>
          <w:tcPr/>
          <w:p>
            <w:pPr>
              <w:pStyle w:val="Compact"/>
            </w:pPr>
            <w:r>
              <w:t xml:space="preserve">9,6–12,0 sn</w:t>
            </w:r>
          </w:p>
        </w:tc>
        <w:tc>
          <w:tcPr/>
          <w:p>
            <w:pPr>
              <w:pStyle w:val="Compact"/>
            </w:pPr>
            <w:r>
              <w:t xml:space="preserve">Yüksek</w:t>
            </w:r>
          </w:p>
        </w:tc>
      </w:tr>
      <w:tr>
        <w:tc>
          <w:tcPr/>
          <w:p>
            <w:pPr>
              <w:pStyle w:val="Compact"/>
            </w:pPr>
            <w:r>
              <w:t xml:space="preserve">PT%</w:t>
            </w:r>
          </w:p>
        </w:tc>
        <w:tc>
          <w:tcPr/>
          <w:p>
            <w:pPr>
              <w:pStyle w:val="Compact"/>
              <w:jc w:val="right"/>
            </w:pPr>
            <w:r>
              <w:t xml:space="preserve">46,3%</w:t>
            </w:r>
          </w:p>
        </w:tc>
        <w:tc>
          <w:tcPr/>
          <w:p>
            <w:pPr>
              <w:pStyle w:val="Compact"/>
            </w:pPr>
            <w:r>
              <w:t xml:space="preserve">74,4–130%</w:t>
            </w:r>
          </w:p>
        </w:tc>
        <w:tc>
          <w:tcPr/>
          <w:p>
            <w:pPr>
              <w:pStyle w:val="Compact"/>
            </w:pPr>
            <w:r>
              <w:t xml:space="preserve">Düşük</w:t>
            </w:r>
          </w:p>
        </w:tc>
      </w:tr>
      <w:tr>
        <w:tc>
          <w:tcPr/>
          <w:p>
            <w:pPr>
              <w:pStyle w:val="Compact"/>
            </w:pPr>
            <w:r>
              <w:t xml:space="preserve">aPTT</w:t>
            </w:r>
          </w:p>
        </w:tc>
        <w:tc>
          <w:tcPr/>
          <w:p>
            <w:pPr>
              <w:pStyle w:val="Compact"/>
              <w:jc w:val="right"/>
            </w:pPr>
            <w:r>
              <w:t xml:space="preserve">44,4 sn</w:t>
            </w:r>
          </w:p>
        </w:tc>
        <w:tc>
          <w:tcPr/>
          <w:p>
            <w:pPr>
              <w:pStyle w:val="Compact"/>
            </w:pPr>
            <w:r>
              <w:t xml:space="preserve">23,9–33,2 sn</w:t>
            </w:r>
          </w:p>
        </w:tc>
        <w:tc>
          <w:tcPr/>
          <w:p>
            <w:pPr>
              <w:pStyle w:val="Compact"/>
            </w:pPr>
            <w:r>
              <w:t xml:space="preserve">Uzamış</w:t>
            </w:r>
          </w:p>
        </w:tc>
      </w:tr>
      <w:tr>
        <w:tc>
          <w:tcPr/>
          <w:p>
            <w:pPr>
              <w:pStyle w:val="Compact"/>
            </w:pPr>
            <w:r>
              <w:t xml:space="preserve">HGB</w:t>
            </w:r>
          </w:p>
        </w:tc>
        <w:tc>
          <w:tcPr/>
          <w:p>
            <w:pPr>
              <w:pStyle w:val="Compact"/>
              <w:jc w:val="right"/>
            </w:pPr>
            <w:r>
              <w:t xml:space="preserve">9,7 g/dL</w:t>
            </w:r>
          </w:p>
        </w:tc>
        <w:tc>
          <w:tcPr/>
          <w:p>
            <w:pPr>
              <w:pStyle w:val="Compact"/>
            </w:pPr>
            <w:r>
              <w:t xml:space="preserve">13,4–17,6 g/dL</w:t>
            </w:r>
          </w:p>
        </w:tc>
        <w:tc>
          <w:tcPr/>
          <w:p>
            <w:pPr>
              <w:pStyle w:val="Compact"/>
            </w:pPr>
            <w:r>
              <w:t xml:space="preserve">Düşük</w:t>
            </w:r>
          </w:p>
        </w:tc>
      </w:tr>
      <w:tr>
        <w:tc>
          <w:tcPr/>
          <w:p>
            <w:pPr>
              <w:pStyle w:val="Compact"/>
            </w:pPr>
            <w:r>
              <w:t xml:space="preserve">HCT</w:t>
            </w:r>
          </w:p>
        </w:tc>
        <w:tc>
          <w:tcPr/>
          <w:p>
            <w:pPr>
              <w:pStyle w:val="Compact"/>
              <w:jc w:val="right"/>
            </w:pPr>
            <w:r>
              <w:t xml:space="preserve">30,1%</w:t>
            </w:r>
          </w:p>
        </w:tc>
        <w:tc>
          <w:tcPr/>
          <w:p>
            <w:pPr>
              <w:pStyle w:val="Compact"/>
            </w:pPr>
            <w:r>
              <w:t xml:space="preserve">40,5–53,6%</w:t>
            </w:r>
          </w:p>
        </w:tc>
        <w:tc>
          <w:tcPr/>
          <w:p>
            <w:pPr>
              <w:pStyle w:val="Compact"/>
            </w:pPr>
            <w:r>
              <w:t xml:space="preserve">Düşük</w:t>
            </w:r>
          </w:p>
        </w:tc>
      </w:tr>
      <w:tr>
        <w:tc>
          <w:tcPr/>
          <w:p>
            <w:pPr>
              <w:pStyle w:val="Compact"/>
            </w:pPr>
            <w:r>
              <w:t xml:space="preserve">RBC</w:t>
            </w:r>
          </w:p>
        </w:tc>
        <w:tc>
          <w:tcPr/>
          <w:p>
            <w:pPr>
              <w:pStyle w:val="Compact"/>
              <w:jc w:val="right"/>
            </w:pPr>
            <w:r>
              <w:t xml:space="preserve">3,93 × 10</w:t>
            </w:r>
            <w:r>
              <w:t xml:space="preserve">12</w:t>
            </w:r>
            <w:r>
              <w:t xml:space="preserve">/L</w:t>
            </w:r>
          </w:p>
        </w:tc>
        <w:tc>
          <w:tcPr/>
          <w:p>
            <w:pPr>
              <w:pStyle w:val="Compact"/>
            </w:pPr>
            <w:r>
              <w:t xml:space="preserve">4,36–6,12 × 10</w:t>
            </w:r>
            <w:r>
              <w:t xml:space="preserve">12</w:t>
            </w:r>
            <w:r>
              <w:t xml:space="preserve">/L</w:t>
            </w:r>
          </w:p>
        </w:tc>
        <w:tc>
          <w:tcPr/>
          <w:p>
            <w:pPr>
              <w:pStyle w:val="Compact"/>
            </w:pPr>
            <w:r>
              <w:t xml:space="preserve">Düşük</w:t>
            </w:r>
          </w:p>
        </w:tc>
      </w:tr>
      <w:tr>
        <w:tc>
          <w:tcPr/>
          <w:p>
            <w:pPr>
              <w:pStyle w:val="Compact"/>
            </w:pPr>
            <w:r>
              <w:t xml:space="preserve">MCV</w:t>
            </w:r>
          </w:p>
        </w:tc>
        <w:tc>
          <w:tcPr/>
          <w:p>
            <w:pPr>
              <w:pStyle w:val="Compact"/>
              <w:jc w:val="right"/>
            </w:pPr>
            <w:r>
              <w:t xml:space="preserve">76,7 fL</w:t>
            </w:r>
          </w:p>
        </w:tc>
        <w:tc>
          <w:tcPr/>
          <w:p>
            <w:pPr>
              <w:pStyle w:val="Compact"/>
            </w:pPr>
            <w:r>
              <w:t xml:space="preserve">75,0–98,3 fL</w:t>
            </w:r>
          </w:p>
        </w:tc>
        <w:tc>
          <w:tcPr/>
          <w:p>
            <w:pPr>
              <w:pStyle w:val="Compact"/>
            </w:pPr>
            <w:r>
              <w:t xml:space="preserve">Alt-normal; mikrositik patern devam ediyor</w:t>
            </w:r>
          </w:p>
        </w:tc>
      </w:tr>
      <w:tr>
        <w:tc>
          <w:tcPr/>
          <w:p>
            <w:pPr>
              <w:pStyle w:val="Compact"/>
            </w:pPr>
            <w:r>
              <w:t xml:space="preserve">MCH</w:t>
            </w:r>
          </w:p>
        </w:tc>
        <w:tc>
          <w:tcPr/>
          <w:p>
            <w:pPr>
              <w:pStyle w:val="Compact"/>
              <w:jc w:val="right"/>
            </w:pPr>
            <w:r>
              <w:t xml:space="preserve">24,6 pg</w:t>
            </w:r>
          </w:p>
        </w:tc>
        <w:tc>
          <w:tcPr/>
          <w:p>
            <w:pPr>
              <w:pStyle w:val="Compact"/>
            </w:pPr>
            <w:r>
              <w:t xml:space="preserve">23,2–33,2 pg</w:t>
            </w:r>
          </w:p>
        </w:tc>
        <w:tc>
          <w:tcPr/>
          <w:p>
            <w:pPr>
              <w:pStyle w:val="Compact"/>
            </w:pPr>
            <w:r>
              <w:t xml:space="preserve">Normal laboratuvar aralığında</w:t>
            </w:r>
          </w:p>
        </w:tc>
      </w:tr>
      <w:tr>
        <w:tc>
          <w:tcPr/>
          <w:p>
            <w:pPr>
              <w:pStyle w:val="Compact"/>
            </w:pPr>
            <w:r>
              <w:t xml:space="preserve">RDW-CV</w:t>
            </w:r>
          </w:p>
        </w:tc>
        <w:tc>
          <w:tcPr/>
          <w:p>
            <w:pPr>
              <w:pStyle w:val="Compact"/>
              <w:jc w:val="right"/>
            </w:pPr>
            <w:r>
              <w:t xml:space="preserve">18,2%</w:t>
            </w:r>
          </w:p>
        </w:tc>
        <w:tc>
          <w:tcPr/>
          <w:p>
            <w:pPr>
              <w:pStyle w:val="Compact"/>
            </w:pPr>
            <w:r>
              <w:t xml:space="preserve">11,7–15,3%</w:t>
            </w:r>
          </w:p>
        </w:tc>
        <w:tc>
          <w:tcPr/>
          <w:p>
            <w:pPr>
              <w:pStyle w:val="Compact"/>
            </w:pPr>
            <w:r>
              <w:t xml:space="preserve">Yüksek</w:t>
            </w:r>
          </w:p>
        </w:tc>
      </w:tr>
      <w:tr>
        <w:tc>
          <w:tcPr/>
          <w:p>
            <w:pPr>
              <w:pStyle w:val="Compact"/>
            </w:pPr>
            <w:r>
              <w:t xml:space="preserve">RDW-SD</w:t>
            </w:r>
          </w:p>
        </w:tc>
        <w:tc>
          <w:tcPr/>
          <w:p>
            <w:pPr>
              <w:pStyle w:val="Compact"/>
              <w:jc w:val="right"/>
            </w:pPr>
            <w:r>
              <w:t xml:space="preserve">51,8 fL</w:t>
            </w:r>
          </w:p>
        </w:tc>
        <w:tc>
          <w:tcPr/>
          <w:p>
            <w:pPr>
              <w:pStyle w:val="Compact"/>
            </w:pPr>
            <w:r>
              <w:t xml:space="preserve">38,4–47,6 fL</w:t>
            </w:r>
          </w:p>
        </w:tc>
        <w:tc>
          <w:tcPr/>
          <w:p>
            <w:pPr>
              <w:pStyle w:val="Compact"/>
            </w:pPr>
            <w:r>
              <w:t xml:space="preserve">Yüksek</w:t>
            </w:r>
          </w:p>
        </w:tc>
      </w:tr>
      <w:tr>
        <w:tc>
          <w:tcPr/>
          <w:p>
            <w:pPr>
              <w:pStyle w:val="Compact"/>
            </w:pPr>
            <w:r>
              <w:t xml:space="preserve">WBC</w:t>
            </w:r>
          </w:p>
        </w:tc>
        <w:tc>
          <w:tcPr/>
          <w:p>
            <w:pPr>
              <w:pStyle w:val="Compact"/>
              <w:jc w:val="right"/>
            </w:pPr>
            <w:r>
              <w:t xml:space="preserve">9,01 × 10</w:t>
            </w:r>
            <w:r>
              <w:t xml:space="preserve">9</w:t>
            </w:r>
            <w:r>
              <w:t xml:space="preserve">/L</w:t>
            </w:r>
          </w:p>
        </w:tc>
        <w:tc>
          <w:tcPr/>
          <w:p>
            <w:pPr>
              <w:pStyle w:val="Compact"/>
            </w:pPr>
            <w:r>
              <w:t xml:space="preserve">4,01–9,75 × 10</w:t>
            </w:r>
            <w:r>
              <w:t xml:space="preserve">9</w:t>
            </w:r>
            <w:r>
              <w:t xml:space="preserve">/L</w:t>
            </w:r>
          </w:p>
        </w:tc>
        <w:tc>
          <w:tcPr/>
          <w:p>
            <w:pPr>
              <w:pStyle w:val="Compact"/>
            </w:pPr>
            <w:r>
              <w:t xml:space="preserve">Normal</w:t>
            </w:r>
          </w:p>
        </w:tc>
      </w:tr>
      <w:tr>
        <w:tc>
          <w:tcPr/>
          <w:p>
            <w:pPr>
              <w:pStyle w:val="Compact"/>
            </w:pPr>
            <w:r>
              <w:t xml:space="preserve">CRP</w:t>
            </w:r>
          </w:p>
        </w:tc>
        <w:tc>
          <w:tcPr/>
          <w:p>
            <w:pPr>
              <w:pStyle w:val="Compact"/>
              <w:jc w:val="right"/>
            </w:pPr>
            <w:r>
              <w:t xml:space="preserve">5,7 mg/L</w:t>
            </w:r>
          </w:p>
        </w:tc>
        <w:tc>
          <w:tcPr/>
          <w:p>
            <w:pPr>
              <w:pStyle w:val="Compact"/>
            </w:pPr>
            <w:r>
              <w:t xml:space="preserve">0–5 mg/L</w:t>
            </w:r>
          </w:p>
        </w:tc>
        <w:tc>
          <w:tcPr/>
          <w:p>
            <w:pPr>
              <w:pStyle w:val="Compact"/>
            </w:pPr>
            <w:r>
              <w:t xml:space="preserve">Hafif yüksek, belirgin gerilemiş</w:t>
            </w:r>
          </w:p>
        </w:tc>
      </w:tr>
      <w:tr>
        <w:tc>
          <w:tcPr/>
          <w:p>
            <w:pPr>
              <w:pStyle w:val="Compact"/>
            </w:pPr>
            <w:r>
              <w:t xml:space="preserve">PLT</w:t>
            </w:r>
          </w:p>
        </w:tc>
        <w:tc>
          <w:tcPr/>
          <w:p>
            <w:pPr>
              <w:pStyle w:val="Compact"/>
              <w:jc w:val="right"/>
            </w:pPr>
            <w:r>
              <w:t xml:space="preserve">368 × 10</w:t>
            </w:r>
            <w:r>
              <w:t xml:space="preserve">9</w:t>
            </w:r>
            <w:r>
              <w:t xml:space="preserve">/L</w:t>
            </w:r>
          </w:p>
        </w:tc>
        <w:tc>
          <w:tcPr/>
          <w:p>
            <w:pPr>
              <w:pStyle w:val="Compact"/>
            </w:pPr>
            <w:r>
              <w:t xml:space="preserve">151–387 × 10</w:t>
            </w:r>
            <w:r>
              <w:t xml:space="preserve">9</w:t>
            </w:r>
            <w:r>
              <w:t xml:space="preserve">/L</w:t>
            </w:r>
          </w:p>
        </w:tc>
        <w:tc>
          <w:tcPr/>
          <w:p>
            <w:pPr>
              <w:pStyle w:val="Compact"/>
            </w:pPr>
            <w:r>
              <w:t xml:space="preserve">Normal</w:t>
            </w:r>
          </w:p>
        </w:tc>
      </w:tr>
      <w:tr>
        <w:tc>
          <w:tcPr/>
          <w:p>
            <w:pPr>
              <w:pStyle w:val="Compact"/>
            </w:pPr>
            <w:r>
              <w:t xml:space="preserve">Kreatinin</w:t>
            </w:r>
          </w:p>
        </w:tc>
        <w:tc>
          <w:tcPr/>
          <w:p>
            <w:pPr>
              <w:pStyle w:val="Compact"/>
              <w:jc w:val="right"/>
            </w:pPr>
            <w:r>
              <w:t xml:space="preserve">1,11 mg/dL</w:t>
            </w:r>
          </w:p>
        </w:tc>
        <w:tc>
          <w:tcPr/>
          <w:p>
            <w:pPr>
              <w:pStyle w:val="Compact"/>
            </w:pPr>
            <w:r>
              <w:t xml:space="preserve">0,7–1,2 mg/dL</w:t>
            </w:r>
          </w:p>
        </w:tc>
        <w:tc>
          <w:tcPr/>
          <w:p>
            <w:pPr>
              <w:pStyle w:val="Compact"/>
            </w:pPr>
            <w:r>
              <w:t xml:space="preserve">Normal</w:t>
            </w:r>
          </w:p>
        </w:tc>
      </w:tr>
      <w:tr>
        <w:tc>
          <w:tcPr/>
          <w:p>
            <w:pPr>
              <w:pStyle w:val="Compact"/>
            </w:pPr>
            <w:r>
              <w:t xml:space="preserve">BUN</w:t>
            </w:r>
          </w:p>
        </w:tc>
        <w:tc>
          <w:tcPr/>
          <w:p>
            <w:pPr>
              <w:pStyle w:val="Compact"/>
              <w:jc w:val="right"/>
            </w:pPr>
            <w:r>
              <w:t xml:space="preserve">14,5 mg/dL</w:t>
            </w:r>
          </w:p>
        </w:tc>
        <w:tc>
          <w:tcPr/>
          <w:p>
            <w:pPr>
              <w:pStyle w:val="Compact"/>
            </w:pPr>
            <w:r>
              <w:t xml:space="preserve">7–20 mg/dL</w:t>
            </w:r>
          </w:p>
        </w:tc>
        <w:tc>
          <w:tcPr/>
          <w:p>
            <w:pPr>
              <w:pStyle w:val="Compact"/>
            </w:pPr>
            <w:r>
              <w:t xml:space="preserve">Normal</w:t>
            </w:r>
          </w:p>
        </w:tc>
      </w:tr>
      <w:tr>
        <w:tc>
          <w:tcPr/>
          <w:p>
            <w:pPr>
              <w:pStyle w:val="Compact"/>
            </w:pPr>
            <w:r>
              <w:t xml:space="preserve">eGFR</w:t>
            </w:r>
          </w:p>
        </w:tc>
        <w:tc>
          <w:tcPr/>
          <w:p>
            <w:pPr>
              <w:pStyle w:val="Compact"/>
              <w:jc w:val="right"/>
            </w:pPr>
            <w:r>
              <w:t xml:space="preserve">70,89 mL/dk/1,73 m²</w:t>
            </w:r>
          </w:p>
        </w:tc>
        <w:tc>
          <w:tcPr/>
          <w:p>
            <w:pPr>
              <w:pStyle w:val="Compact"/>
            </w:pPr>
            <w:r>
              <w:t xml:space="preserve">—</w:t>
            </w:r>
          </w:p>
        </w:tc>
        <w:tc>
          <w:tcPr/>
          <w:p>
            <w:pPr>
              <w:pStyle w:val="Compact"/>
            </w:pPr>
            <w:r>
              <w:t xml:space="preserve">Kayda göre korunmuş filtrasyon</w:t>
            </w:r>
          </w:p>
        </w:tc>
      </w:tr>
      <w:tr>
        <w:tc>
          <w:tcPr/>
          <w:p>
            <w:pPr>
              <w:pStyle w:val="Compact"/>
            </w:pPr>
            <w:r>
              <w:t xml:space="preserve">Na</w:t>
            </w:r>
          </w:p>
        </w:tc>
        <w:tc>
          <w:tcPr/>
          <w:p>
            <w:pPr>
              <w:pStyle w:val="Compact"/>
              <w:jc w:val="right"/>
            </w:pPr>
            <w:r>
              <w:t xml:space="preserve">138 mmol/L</w:t>
            </w:r>
          </w:p>
        </w:tc>
        <w:tc>
          <w:tcPr/>
          <w:p>
            <w:pPr>
              <w:pStyle w:val="Compact"/>
            </w:pPr>
            <w:r>
              <w:t xml:space="preserve">136–145 mmol/L</w:t>
            </w:r>
          </w:p>
        </w:tc>
        <w:tc>
          <w:tcPr/>
          <w:p>
            <w:pPr>
              <w:pStyle w:val="Compact"/>
            </w:pPr>
            <w:r>
              <w:t xml:space="preserve">Normal</w:t>
            </w:r>
          </w:p>
        </w:tc>
      </w:tr>
      <w:tr>
        <w:tc>
          <w:tcPr/>
          <w:p>
            <w:pPr>
              <w:pStyle w:val="Compact"/>
            </w:pPr>
            <w:r>
              <w:t xml:space="preserve">K</w:t>
            </w:r>
          </w:p>
        </w:tc>
        <w:tc>
          <w:tcPr/>
          <w:p>
            <w:pPr>
              <w:pStyle w:val="Compact"/>
              <w:jc w:val="right"/>
            </w:pPr>
            <w:r>
              <w:t xml:space="preserve">5,05 mmol/L</w:t>
            </w:r>
          </w:p>
        </w:tc>
        <w:tc>
          <w:tcPr/>
          <w:p>
            <w:pPr>
              <w:pStyle w:val="Compact"/>
            </w:pPr>
            <w:r>
              <w:t xml:space="preserve">3,5–5,5 mmol/L</w:t>
            </w:r>
          </w:p>
        </w:tc>
        <w:tc>
          <w:tcPr/>
          <w:p>
            <w:pPr>
              <w:pStyle w:val="Compact"/>
            </w:pPr>
            <w:r>
              <w:t xml:space="preserve">Üst sınıra yakın</w:t>
            </w:r>
          </w:p>
        </w:tc>
      </w:tr>
      <w:tr>
        <w:tc>
          <w:tcPr/>
          <w:p>
            <w:pPr>
              <w:pStyle w:val="Compact"/>
            </w:pPr>
            <w:r>
              <w:t xml:space="preserve">Cl</w:t>
            </w:r>
          </w:p>
        </w:tc>
        <w:tc>
          <w:tcPr/>
          <w:p>
            <w:pPr>
              <w:pStyle w:val="Compact"/>
              <w:jc w:val="right"/>
            </w:pPr>
            <w:r>
              <w:t xml:space="preserve">101 mmol/L</w:t>
            </w:r>
          </w:p>
        </w:tc>
        <w:tc>
          <w:tcPr/>
          <w:p>
            <w:pPr>
              <w:pStyle w:val="Compact"/>
            </w:pPr>
            <w:r>
              <w:t xml:space="preserve">95–110 mmol/L</w:t>
            </w:r>
          </w:p>
        </w:tc>
        <w:tc>
          <w:tcPr/>
          <w:p>
            <w:pPr>
              <w:pStyle w:val="Compact"/>
            </w:pPr>
            <w:r>
              <w:t xml:space="preserve">Normal</w:t>
            </w:r>
          </w:p>
        </w:tc>
      </w:tr>
      <w:tr>
        <w:tc>
          <w:tcPr/>
          <w:p>
            <w:pPr>
              <w:pStyle w:val="Compact"/>
            </w:pPr>
            <w:r>
              <w:t xml:space="preserve">CK-MB</w:t>
            </w:r>
          </w:p>
        </w:tc>
        <w:tc>
          <w:tcPr/>
          <w:p>
            <w:pPr>
              <w:pStyle w:val="Compact"/>
              <w:jc w:val="right"/>
            </w:pPr>
            <w:r>
              <w:t xml:space="preserve">12 U/L</w:t>
            </w:r>
          </w:p>
        </w:tc>
        <w:tc>
          <w:tcPr/>
          <w:p>
            <w:pPr>
              <w:pStyle w:val="Compact"/>
            </w:pPr>
            <w:r>
              <w:t xml:space="preserve">0–25 U/L</w:t>
            </w:r>
          </w:p>
        </w:tc>
        <w:tc>
          <w:tcPr/>
          <w:p>
            <w:pPr>
              <w:pStyle w:val="Compact"/>
            </w:pPr>
            <w:r>
              <w:t xml:space="preserve">Normal</w:t>
            </w:r>
          </w:p>
        </w:tc>
      </w:tr>
    </w:tbl>
    <w:bookmarkEnd w:id="35"/>
    <w:bookmarkStart w:id="36" w:name="X84bc09c61f71b69bbc5d07c9b41a23f62743930"/>
    <w:p>
      <w:pPr>
        <w:pStyle w:val="Heading2"/>
      </w:pPr>
      <w:r>
        <w:t xml:space="preserve">13. Sonuç ve Klinik Sentez</w:t>
      </w:r>
    </w:p>
    <w:p>
      <w:pPr>
        <w:pStyle w:val="FirstParagraph"/>
      </w:pPr>
      <w:r>
        <w:t xml:space="preserve">16.09.2026 itibarıyla klinik tablo iki farklı ekseni aynı anda göstermektedir. Birinci eksen, 113/75 mmHg yedi günlük ev tansiyon ortalaması, stabil kilo ve gerileyen CRP ile temsil edilen hemodinamik ve inflamatuvar iyileşme eğilimidir. İkinci eksen ise 1,95 INR ile mekanik kapak antikoagülasyonunda yeniden hedef dışına çıkış ve 9,7 g/dL hemoglobin ile süren demir eksikliği anemisidir. Bu nedenle mevcut durum “tek yönlü kötüleşme” olarak tanımlanamaz; aynı zamanda tüm risklerin ortadan kalktığı bir stabilizasyon olarak da nitelendirilemez (Isselbacher et al., 2022; Praz et al., 2025; McEvoy et al., 2024; Snook et al., 2021).</w:t>
      </w:r>
    </w:p>
    <w:p>
      <w:pPr>
        <w:pStyle w:val="BodyText"/>
      </w:pPr>
      <w:r>
        <w:t xml:space="preserve">En yakın klinik karar düğümü INR'dir. INR 1,95 değeri mekanik aort kapak için 2,0–3,0 terapötik aralığının altındadır ve warfarin tedavisinin kısa aralıkta klinisyen gözetiminde yeniden değerlendirilmesini gerektirir. Burada amaç tek seferlik agresif doz değişikliği değil, hedef aralıkta sürdürülebilir ve güvenli antikoagülasyon sağlamaktır (Praz et al., 2025).</w:t>
      </w:r>
    </w:p>
    <w:p>
      <w:pPr>
        <w:pStyle w:val="BodyText"/>
      </w:pPr>
      <w:r>
        <w:t xml:space="preserve">Demir eksikliği açısından Ferro Sanol Duodenal tedavisi yeni başlamıştır. Hemoglobin değerinin 9,7 g/dL'de değişmeden kalması, 11.09.2026 başlangıcından yalnızca birkaç gün sonra ölçülen 15.09.2026 sonucu olması nedeniyle erken dönemde tedavi başarısızlığı olarak yorumlanmamalıdır. Daha anlamlı değerlendirme için klinik olarak uygun aralıkta seri hemoglobin, ferritin ve transferrin satürasyonu takibi gerekir (Camaschella, 2015; Snook et al., 2021).</w:t>
      </w:r>
    </w:p>
    <w:p>
      <w:pPr>
        <w:pStyle w:val="BodyText"/>
      </w:pPr>
      <w:r>
        <w:t xml:space="preserve">CRP'nin %49,6 düşmesi sternal enfeksiyon/inflamasyon yükünde iyileşme lehinedir; buna rağmen prostetik materyal ve yakın dönem ciddi sternal enfeksiyon öyküsü nedeniyle klinik muayene, yara takibi ve gerektiğinde mikrobiyolojik/görüntüleme değerlendirmesi sürdürülmelidir (Delgado et al., 2023).</w:t>
      </w:r>
    </w:p>
    <w:p>
      <w:pPr>
        <w:pStyle w:val="BodyText"/>
      </w:pPr>
      <w:r>
        <w:t xml:space="preserve">Bu raporun temel veri bütünlüğü kararı, 15.09.2026 Test #93 ile 08.09.2026 Test #90'ın birbirine karıştırılmamasıdır. Özellikle ferritin 19 µg/L, serum demiri 15 µg/dL, UIBC 326,8 µg/dL ve B12 638 pg/mL, veri tabanında 08.09.2026 tarihinde ölçülmüş son mevcut değerlerdir.</w:t>
      </w:r>
    </w:p>
    <w:bookmarkEnd w:id="36"/>
    <w:bookmarkStart w:id="37" w:name="X843a70acfe2bdb16f0cb98b1e7dd92cd2663c7b"/>
    <w:p>
      <w:pPr>
        <w:pStyle w:val="Heading2"/>
      </w:pPr>
      <w:r>
        <w:t xml:space="preserve">14. Belge ve Klinik Kullanım Notu</w:t>
      </w:r>
    </w:p>
    <w:p>
      <w:pPr>
        <w:pStyle w:val="FirstParagraph"/>
      </w:pPr>
      <w:r>
        <w:t xml:space="preserve">Belge 16.09.2026 veri kesitine göre hazırlanmıştır. Bu raporda veri tabanındaki ham zaman damgalı kayıtlar, uygulama içindeki otomatik özetlerden önce değerlendirilmiştir. Klinik karar verme sürecinde reçete değişikliği, antikoagülasyon dozu, antibiyotik seçimi, görüntüleme zamanı ve invaziv girişimler için sorumlu hekimlerin güncel klinik değerlendirmesi esastır.</w:t>
      </w:r>
    </w:p>
    <w:bookmarkEnd w:id="37"/>
    <w:bookmarkStart w:id="46" w:name="kaynakça-apa-7th-edition"/>
    <w:p>
      <w:pPr>
        <w:pStyle w:val="Heading2"/>
      </w:pPr>
      <w:r>
        <w:t xml:space="preserve">KAYNAKÇA (APA 7TH EDITION)</w:t>
      </w:r>
    </w:p>
    <w:p>
      <w:pPr>
        <w:pStyle w:val="FirstParagraph"/>
      </w:pPr>
      <w:r>
        <w:t xml:space="preserve">Camaschella, C. (2015). Iron-deficiency anemia.</w:t>
      </w:r>
      <w:r>
        <w:t xml:space="preserve"> </w:t>
      </w:r>
      <w:r>
        <w:rPr>
          <w:i/>
          <w:iCs/>
        </w:rPr>
        <w:t xml:space="preserve">New England Journal of Medicine, 372</w:t>
      </w:r>
      <w:r>
        <w:t xml:space="preserve">(19), 1832–1843.</w:t>
      </w:r>
      <w:r>
        <w:t xml:space="preserve"> </w:t>
      </w:r>
      <w:hyperlink r:id="rId38">
        <w:r>
          <w:rPr>
            <w:rStyle w:val="Hyperlink"/>
          </w:rPr>
          <w:t xml:space="preserve">https://doi.org/10.1056/NEJMra1401038</w:t>
        </w:r>
      </w:hyperlink>
    </w:p>
    <w:p>
      <w:pPr>
        <w:pStyle w:val="BodyText"/>
      </w:pPr>
      <w:r>
        <w:t xml:space="preserve">Delgado, V., Ajmone Marsan, N., de Waha, S., Bonaros, N., Brida, M., Burri, H., Caselli, S., Doenst, T., Ederhy, S., Erba, P. A., Foldager, D., Fosbøl, E. L., Kovac, J., Mestres, C. A., Miller, O. I., Miro, J. M., Pazdernik, M., Pizzi, M. N., Quintana, E., Rasmussen, T. B., Ristić, A. D., Rodés-Cabau, J., Sionis, A., Zühlke, L. J., &amp; Borger, M. A. (2023). 2023 ESC Guidelines for the management of endocarditis.</w:t>
      </w:r>
      <w:r>
        <w:t xml:space="preserve"> </w:t>
      </w:r>
      <w:r>
        <w:rPr>
          <w:i/>
          <w:iCs/>
        </w:rPr>
        <w:t xml:space="preserve">European Heart Journal, 44</w:t>
      </w:r>
      <w:r>
        <w:t xml:space="preserve">(39), 3948–4042.</w:t>
      </w:r>
      <w:r>
        <w:t xml:space="preserve"> </w:t>
      </w:r>
      <w:hyperlink r:id="rId39">
        <w:r>
          <w:rPr>
            <w:rStyle w:val="Hyperlink"/>
          </w:rPr>
          <w:t xml:space="preserve">https://doi.org/10.1093/eurheartj/ehad193</w:t>
        </w:r>
      </w:hyperlink>
    </w:p>
    <w:p>
      <w:pPr>
        <w:pStyle w:val="BodyText"/>
      </w:pPr>
      <w:r>
        <w:t xml:space="preserve">Isselbacher, E. M., Preventza, O., Black, J. H., 3rd, Augoustides, J. G., Beck, A. W., Bolen, M. A., Braverman, A. C., Bray, B. E., Brown-Zimmerman, M. M., Chen, E. P., Collins, T. J., DeAnda, A., Jr., Fanola, C. L., Girardi, L. N., Hicks, C. W., Hui, D. S., Jones, W. S., Kalahasti, V., Kim, K. M., Milewicz, D. M., Oderich, G. S., Ogbechie, L., Promes, S. B., Ross, E. G., Schermerhorn, M. L., Singleton Times, S., Tseng, E. E., Wang, G. J., &amp; Woo, Y. J. (2022). 2022 ACC/AHA guideline for the diagnosis and management of aortic disease: A report of the American Heart Association/American College of Cardiology Joint Committee on Clinical Practice Guidelines.</w:t>
      </w:r>
      <w:r>
        <w:t xml:space="preserve"> </w:t>
      </w:r>
      <w:r>
        <w:rPr>
          <w:i/>
          <w:iCs/>
        </w:rPr>
        <w:t xml:space="preserve">Circulation, 146</w:t>
      </w:r>
      <w:r>
        <w:t xml:space="preserve">(24), e334–e482.</w:t>
      </w:r>
      <w:r>
        <w:t xml:space="preserve"> </w:t>
      </w:r>
      <w:hyperlink r:id="rId40">
        <w:r>
          <w:rPr>
            <w:rStyle w:val="Hyperlink"/>
          </w:rPr>
          <w:t xml:space="preserve">https://doi.org/10.1161/CIR.0000000000001106</w:t>
        </w:r>
      </w:hyperlink>
    </w:p>
    <w:p>
      <w:pPr>
        <w:pStyle w:val="BodyText"/>
      </w:pPr>
      <w:r>
        <w:t xml:space="preserve">Inker, L. A., Eneanya, N. D., Coresh, J., Tighiouart, H., Wang, D., Sang, Y., Crews, D. C., Doria, A., Estrella, M. M., Froissart, M., Grams, M. E., Greene, T., Grubb, A., Gudnason, V., Gutiérrez, O. M., Kalil, R., Karger, A. B., Mauer, M., Navis, G., Nelson, R. G., Poggio, E. D., Rodby, R., Rossing, P., Rule, A. D., Selvin, E., Seegmiller, J. C., Shlipak, M. G., Torres, V. E., Yang, W., Ballew, S. H., Couture, S. J., Powe, N. R., &amp; Levey, A. S. (2021). New creatinine- and cystatin C-based equations to estimate glomerular filtration rate without race.</w:t>
      </w:r>
      <w:r>
        <w:t xml:space="preserve"> </w:t>
      </w:r>
      <w:r>
        <w:rPr>
          <w:i/>
          <w:iCs/>
        </w:rPr>
        <w:t xml:space="preserve">New England Journal of Medicine, 385</w:t>
      </w:r>
      <w:r>
        <w:t xml:space="preserve">(19), 1737–1749.</w:t>
      </w:r>
      <w:r>
        <w:t xml:space="preserve"> </w:t>
      </w:r>
      <w:hyperlink r:id="rId41">
        <w:r>
          <w:rPr>
            <w:rStyle w:val="Hyperlink"/>
          </w:rPr>
          <w:t xml:space="preserve">https://doi.org/10.1056/NEJMoa2102953</w:t>
        </w:r>
      </w:hyperlink>
    </w:p>
    <w:p>
      <w:pPr>
        <w:pStyle w:val="BodyText"/>
      </w:pPr>
      <w:r>
        <w:t xml:space="preserve">McEvoy, J. W., McCarthy, C. P., Bruno, R. M., Brouwers, S., Canavan, M. D., Ceconi, C., Christodorescu, R. M., Daskalopoulou, S. S., Ferro, C. J., Gerdts, E., Hanssen, H., Harris, J., Lauder, L., McManus, R. J., Molloy, G. J., Rahimi, K., Regitz-Zagrosek, V., Rossi, G. P., Sandset, E. C., Scheenaerts, B., Staessen, J. A., Uchmanowicz, I., Volterrani, M., &amp; Touyz, R. M. (2024). 2024 ESC Guidelines for the management of elevated blood pressure and hypertension.</w:t>
      </w:r>
      <w:r>
        <w:t xml:space="preserve"> </w:t>
      </w:r>
      <w:r>
        <w:rPr>
          <w:i/>
          <w:iCs/>
        </w:rPr>
        <w:t xml:space="preserve">European Heart Journal, 45</w:t>
      </w:r>
      <w:r>
        <w:t xml:space="preserve">(38), 3912–4018.</w:t>
      </w:r>
      <w:r>
        <w:t xml:space="preserve"> </w:t>
      </w:r>
      <w:hyperlink r:id="rId42">
        <w:r>
          <w:rPr>
            <w:rStyle w:val="Hyperlink"/>
          </w:rPr>
          <w:t xml:space="preserve">https://doi.org/10.1093/eurheartj/ehae178</w:t>
        </w:r>
      </w:hyperlink>
    </w:p>
    <w:p>
      <w:pPr>
        <w:pStyle w:val="BodyText"/>
      </w:pPr>
      <w:r>
        <w:t xml:space="preserve">Praz, F., Borger, M. A., Lanz, J., Marin-Cuartas, M., Abreu, A., Adamo, M., Ajmone Marsan, N., Barili, F., Bonaros, N., Cosyns, B., De Paulis, R., Gamra, H., Jahangiri, M., Jeppsson, A., Klautz, R. J. M., Mores, B., Pérez-David, E., Pöss, J., Prendergast, B. D., Rocca, B., Rossello, X., Suzuki, M., Thiele, H., Tribouilloy, C. M., &amp; Wojakowski, W. (2025). 2025 ESC/EACTS Guidelines for the management of valvular heart disease.</w:t>
      </w:r>
      <w:r>
        <w:t xml:space="preserve"> </w:t>
      </w:r>
      <w:r>
        <w:rPr>
          <w:i/>
          <w:iCs/>
        </w:rPr>
        <w:t xml:space="preserve">European Heart Journal, 46</w:t>
      </w:r>
      <w:r>
        <w:t xml:space="preserve">(44), 4635–4736.</w:t>
      </w:r>
      <w:r>
        <w:t xml:space="preserve"> </w:t>
      </w:r>
      <w:hyperlink r:id="rId43">
        <w:r>
          <w:rPr>
            <w:rStyle w:val="Hyperlink"/>
          </w:rPr>
          <w:t xml:space="preserve">https://doi.org/10.1093/eurheartj/ehaf194</w:t>
        </w:r>
      </w:hyperlink>
    </w:p>
    <w:p>
      <w:pPr>
        <w:pStyle w:val="BodyText"/>
      </w:pPr>
      <w:r>
        <w:t xml:space="preserve">Snook, J., Bhala, N., Beales, I. L. P., Cannings, D., Kightley, C., Logan, R. P. H., Pritchard, D. M., Sidhu, R., Surgenor, S., Thomas, W., Verma, A. M., &amp; Goddard, A. F. (2021). British Society of Gastroenterology guidelines for the management of iron deficiency anaemia in adults.</w:t>
      </w:r>
      <w:r>
        <w:t xml:space="preserve"> </w:t>
      </w:r>
      <w:r>
        <w:rPr>
          <w:i/>
          <w:iCs/>
        </w:rPr>
        <w:t xml:space="preserve">Gut, 70</w:t>
      </w:r>
      <w:r>
        <w:t xml:space="preserve">(11), 2030–2051.</w:t>
      </w:r>
      <w:r>
        <w:t xml:space="preserve"> </w:t>
      </w:r>
      <w:hyperlink r:id="rId44">
        <w:r>
          <w:rPr>
            <w:rStyle w:val="Hyperlink"/>
          </w:rPr>
          <w:t xml:space="preserve">https://doi.org/10.1136/gutjnl-2021-325210</w:t>
        </w:r>
      </w:hyperlink>
    </w:p>
    <w:p>
      <w:pPr>
        <w:pStyle w:val="BodyText"/>
      </w:pPr>
      <w:r>
        <w:t xml:space="preserve">Moretti, D., Goede, J. S., Zeder, C., Jiskra, M., Chatzinakou, V., Tjalsma, H., Melse-Boonstra, A., Brittenham, G., Swinkels, D. W., &amp; Zimmermann, M. B. (2015). Oral iron supplements increase hepcidin and decrease iron absorption from daily or twice-daily doses in iron-depleted young women.</w:t>
      </w:r>
      <w:r>
        <w:t xml:space="preserve"> </w:t>
      </w:r>
      <w:r>
        <w:rPr>
          <w:i/>
          <w:iCs/>
        </w:rPr>
        <w:t xml:space="preserve">Blood, 126</w:t>
      </w:r>
      <w:r>
        <w:t xml:space="preserve">(17), 1981–1989.</w:t>
      </w:r>
      <w:r>
        <w:t xml:space="preserve"> </w:t>
      </w:r>
      <w:hyperlink r:id="rId45">
        <w:r>
          <w:rPr>
            <w:rStyle w:val="Hyperlink"/>
          </w:rPr>
          <w:t xml:space="preserve">https://doi.org/10.1182/blood-2015-05-642223</w:t>
        </w:r>
      </w:hyperlink>
    </w:p>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1" Target="https://doi.org/10.1056/NEJMoa2102953" TargetMode="External" /><Relationship Type="http://schemas.openxmlformats.org/officeDocument/2006/relationships/hyperlink" Id="rId38" Target="https://doi.org/10.1056/NEJMra1401038" TargetMode="External" /><Relationship Type="http://schemas.openxmlformats.org/officeDocument/2006/relationships/hyperlink" Id="rId39" Target="https://doi.org/10.1093/eurheartj/ehad193" TargetMode="External" /><Relationship Type="http://schemas.openxmlformats.org/officeDocument/2006/relationships/hyperlink" Id="rId42" Target="https://doi.org/10.1093/eurheartj/ehae178" TargetMode="External" /><Relationship Type="http://schemas.openxmlformats.org/officeDocument/2006/relationships/hyperlink" Id="rId43" Target="https://doi.org/10.1093/eurheartj/ehaf194" TargetMode="External" /><Relationship Type="http://schemas.openxmlformats.org/officeDocument/2006/relationships/hyperlink" Id="rId44" Target="https://doi.org/10.1136/gutjnl-2021-325210" TargetMode="External" /><Relationship Type="http://schemas.openxmlformats.org/officeDocument/2006/relationships/hyperlink" Id="rId40" Target="https://doi.org/10.1161/CIR.0000000000001106" TargetMode="External" /><Relationship Type="http://schemas.openxmlformats.org/officeDocument/2006/relationships/hyperlink" Id="rId45" Target="https://doi.org/10.1182/blood-2015-05-642223"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56/NEJMoa2102953" TargetMode="External" /><Relationship Type="http://schemas.openxmlformats.org/officeDocument/2006/relationships/hyperlink" Id="rId38" Target="https://doi.org/10.1056/NEJMra1401038" TargetMode="External" /><Relationship Type="http://schemas.openxmlformats.org/officeDocument/2006/relationships/hyperlink" Id="rId39" Target="https://doi.org/10.1093/eurheartj/ehad193" TargetMode="External" /><Relationship Type="http://schemas.openxmlformats.org/officeDocument/2006/relationships/hyperlink" Id="rId42" Target="https://doi.org/10.1093/eurheartj/ehae178" TargetMode="External" /><Relationship Type="http://schemas.openxmlformats.org/officeDocument/2006/relationships/hyperlink" Id="rId43" Target="https://doi.org/10.1093/eurheartj/ehaf194" TargetMode="External" /><Relationship Type="http://schemas.openxmlformats.org/officeDocument/2006/relationships/hyperlink" Id="rId44" Target="https://doi.org/10.1136/gutjnl-2021-325210" TargetMode="External" /><Relationship Type="http://schemas.openxmlformats.org/officeDocument/2006/relationships/hyperlink" Id="rId40" Target="https://doi.org/10.1161/CIR.0000000000001106" TargetMode="External" /><Relationship Type="http://schemas.openxmlformats.org/officeDocument/2006/relationships/hyperlink" Id="rId45" Target="https://doi.org/10.1182/blood-2015-05-6422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2026-09-16T09:27:30Z</dcterms:created>
  <dcterms:modified xsi:type="dcterms:W3CDTF">2026-09-16T09:27:30Z</dcterms:modified>
</cp:coreProperties>
</file>

<file path=docProps/custom.xml><?xml version="1.0" encoding="utf-8"?>
<Properties xmlns="http://schemas.openxmlformats.org/officeDocument/2006/custom-properties" xmlns:vt="http://schemas.openxmlformats.org/officeDocument/2006/docPropsVTypes"/>
</file>