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klinik-yönetici-ve-karar-destek-raporu"/>
    <w:p>
      <w:pPr>
        <w:pStyle w:val="Heading1"/>
      </w:pPr>
      <w:r>
        <w:t xml:space="preserve">360° Klinik Yönetici ve Karar Destek Raporu</w:t>
      </w:r>
    </w:p>
    <w:p>
      <w:pPr>
        <w:pStyle w:val="FirstParagraph"/>
      </w:pPr>
      <w:r>
        <w:rPr>
          <w:b/>
          <w:bCs/>
        </w:rPr>
        <w:t xml:space="preserve">Alaattin Sönmez (64E) · 09 Eylül 2026 · Postoperatif 202. Gün</w:t>
      </w:r>
    </w:p>
    <w:p>
      <w:r>
        <w:pict>
          <v:rect style="width:0;height:1.5pt" o:hralign="center" o:hrstd="t" o:hr="t"/>
        </w:pict>
      </w:r>
    </w:p>
    <w:bookmarkStart w:id="9" w:name="hasta-künyesi"/>
    <w:p>
      <w:pPr>
        <w:pStyle w:val="Heading2"/>
      </w:pPr>
      <w:r>
        <w:t xml:space="preserve">1. Hasta Künyesi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Değer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 Soyad</w:t>
            </w:r>
          </w:p>
        </w:tc>
        <w:tc>
          <w:tcPr/>
          <w:p>
            <w:pPr>
              <w:pStyle w:val="Compact"/>
            </w:pPr>
            <w:r>
              <w:t xml:space="preserve">Alaattin SÖNMEZ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</w:t>
            </w:r>
          </w:p>
        </w:tc>
        <w:tc>
          <w:tcPr/>
          <w:p>
            <w:pPr>
              <w:pStyle w:val="Compact"/>
            </w:pPr>
            <w:r>
              <w:t xml:space="preserve">00000000000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Yaş / Cinsiyet</w:t>
            </w:r>
          </w:p>
        </w:tc>
        <w:tc>
          <w:tcPr/>
          <w:p>
            <w:pPr>
              <w:pStyle w:val="Compact"/>
            </w:pPr>
            <w:r>
              <w:t xml:space="preserve">64 / Erkek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Doğum</w:t>
            </w:r>
          </w:p>
        </w:tc>
        <w:tc>
          <w:tcPr/>
          <w:p>
            <w:pPr>
              <w:pStyle w:val="Compact"/>
            </w:pPr>
            <w:r>
              <w:t xml:space="preserve">01.01.1962 / HATAY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Boy / Kilo / VKİ</w:t>
            </w:r>
          </w:p>
        </w:tc>
        <w:tc>
          <w:tcPr/>
          <w:p>
            <w:pPr>
              <w:pStyle w:val="Compact"/>
            </w:pPr>
            <w:r>
              <w:t xml:space="preserve">174 cm / 78.8 kg / 26.0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 Grubu</w:t>
            </w:r>
          </w:p>
        </w:tc>
        <w:tc>
          <w:tcPr/>
          <w:p>
            <w:pPr>
              <w:pStyle w:val="Compact"/>
            </w:pPr>
            <w:r>
              <w:t xml:space="preserve">0 Rh (+)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Güvence</w:t>
            </w:r>
          </w:p>
        </w:tc>
        <w:tc>
          <w:tcPr/>
          <w:p>
            <w:pPr>
              <w:pStyle w:val="Compact"/>
            </w:pPr>
            <w:r>
              <w:t xml:space="preserve">SSK / Hatay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Ameliyat</w:t>
            </w:r>
          </w:p>
        </w:tc>
        <w:tc>
          <w:tcPr/>
          <w:p>
            <w:pPr>
              <w:pStyle w:val="Compact"/>
            </w:pPr>
            <w:r>
              <w:t xml:space="preserve">20 Şubat 2026 (Bentall Prosedürü)</w:t>
            </w:r>
          </w:p>
        </w:tc>
      </w:tr>
    </w:tbl>
    <w:bookmarkEnd w:id="9"/>
    <w:bookmarkStart w:id="10" w:name="yönetici-klinik-özet"/>
    <w:p>
      <w:pPr>
        <w:pStyle w:val="Heading2"/>
      </w:pPr>
      <w:r>
        <w:t xml:space="preserve">2. Yönetici Klinik Özet</w:t>
      </w:r>
    </w:p>
    <w:p>
      <w:pPr>
        <w:pStyle w:val="FirstParagraph"/>
      </w:pPr>
      <w:r>
        <w:t xml:space="preserve">Alaattin Sönmez (64E), 19 Şubat 2026’da ani başlayan yırtıcı karakterde göğüs-sırt ağrısı ile Defne Devlet Hastanesi’ne</w:t>
      </w:r>
      <w:r>
        <w:t xml:space="preserve"> </w:t>
      </w:r>
      <w:r>
        <w:t xml:space="preserve">başvurmuş; sevk zinciri sonrası</w:t>
      </w:r>
      <w:r>
        <w:t xml:space="preserve"> </w:t>
      </w:r>
      <w:r>
        <w:rPr>
          <w:b/>
          <w:bCs/>
        </w:rPr>
        <w:t xml:space="preserve">5.3 cm asendan aort anevrizması ve Tip A Aort Diseksiyonu</w:t>
      </w:r>
      <w:r>
        <w:t xml:space="preserve"> </w:t>
      </w:r>
      <w:r>
        <w:t xml:space="preserve">kesin tanısı ile Özel</w:t>
      </w:r>
      <w:r>
        <w:t xml:space="preserve"> </w:t>
      </w:r>
      <w:r>
        <w:t xml:space="preserve">İskenderun Gelişim Hastanesi’ne yatırılmıştır (Isselbacher et al., 2022, s. e340). 20 Şubat 2026’da derin hipotermik</w:t>
      </w:r>
      <w:r>
        <w:t xml:space="preserve"> </w:t>
      </w:r>
      <w:r>
        <w:t xml:space="preserve">sirkülatuar arrest altında</w:t>
      </w:r>
      <w:r>
        <w:t xml:space="preserve"> </w:t>
      </w:r>
      <w:r>
        <w:rPr>
          <w:b/>
          <w:bCs/>
        </w:rPr>
        <w:t xml:space="preserve">32 mm Maquet Intergard Dacron greft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25 mm CORCYM Carbomedics mekanik kapak</w:t>
      </w:r>
      <w:r>
        <w:t xml:space="preserve"> </w:t>
      </w:r>
      <w:r>
        <w:t xml:space="preserve">implante edilerek Bentall prosedürü tamamlanmıştır (Bentall &amp; De Bono, 1968, s. 211). Postoperatif dönemde sternal</w:t>
      </w:r>
      <w:r>
        <w:t xml:space="preserve"> </w:t>
      </w:r>
      <w:r>
        <w:t xml:space="preserve">dehissens (23-28 Temmuz 2026 revizyonu), geçici INR dalgalanmaları (zirve 8.46) ve mikroskopik demir eksikliği anemisi</w:t>
      </w:r>
      <w:r>
        <w:t xml:space="preserve"> </w:t>
      </w:r>
      <w:r>
        <w:t xml:space="preserve">gelişmiştir.</w:t>
      </w:r>
    </w:p>
    <w:p>
      <w:pPr>
        <w:pStyle w:val="BodyText"/>
      </w:pPr>
      <w:r>
        <w:t xml:space="preserve">Son 7 gün ortalama kan basıncı</w:t>
      </w:r>
      <w:r>
        <w:t xml:space="preserve"> </w:t>
      </w:r>
      <w:r>
        <w:rPr>
          <w:b/>
          <w:bCs/>
        </w:rPr>
        <w:t xml:space="preserve">111/76 mmHg</w:t>
      </w:r>
      <w:r>
        <w:t xml:space="preserve"> </w:t>
      </w:r>
      <w:r>
        <w:t xml:space="preserve">ile 2024 ESC hedefinin (≤120/80) altındadır (McEvoy et al., 2024). INR</w:t>
      </w:r>
      <w:r>
        <w:t xml:space="preserve"> </w:t>
      </w:r>
      <w:r>
        <w:t xml:space="preserve">2.72 ile mekanik aort kapak için terapötik pencerededir (Vahanian et al., 2022, s. 584). Ancak 4 kritik başlık</w:t>
      </w:r>
      <w:r>
        <w:t xml:space="preserve"> </w:t>
      </w:r>
      <w:r>
        <w:t xml:space="preserve">sürmektedir: (1) mikrositer anemi (HGB 9.7 g/dL, Ferritin 19 µg/L), (2) TTR %54.6 ile suboptimal antikoagülasyon, (3)</w:t>
      </w:r>
      <w:r>
        <w:t xml:space="preserve"> </w:t>
      </w:r>
      <w:r>
        <w:t xml:space="preserve">CRP 11.3 mg/L ile subakut enflamasyon, (4) rezidüel Tip B diseksiyon flebi nedeniyle 6-aylık görüntüleme ihtiyacı</w:t>
      </w:r>
      <w:r>
        <w:t xml:space="preserve"> </w:t>
      </w:r>
      <w:r>
        <w:t xml:space="preserve">(Fleischmann et al., 2022, s. e000075).</w:t>
      </w:r>
    </w:p>
    <w:bookmarkEnd w:id="10"/>
    <w:bookmarkStart w:id="11" w:name="biyobelirteç-değişim-tablosu"/>
    <w:p>
      <w:pPr>
        <w:pStyle w:val="Heading2"/>
      </w:pPr>
      <w:r>
        <w:t xml:space="preserve">3. Biyobelirteç Değişim Tablosu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0"/>
        <w:gridCol w:w="1300"/>
        <w:gridCol w:w="827"/>
        <w:gridCol w:w="1300"/>
        <w:gridCol w:w="827"/>
        <w:gridCol w:w="945"/>
        <w:gridCol w:w="14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Parametre</w:t>
            </w:r>
          </w:p>
        </w:tc>
        <w:tc>
          <w:tcPr/>
          <w:p>
            <w:pPr>
              <w:pStyle w:val="Compact"/>
            </w:pPr>
            <w:r>
              <w:t xml:space="preserve">Referans</w:t>
            </w:r>
          </w:p>
        </w:tc>
        <w:tc>
          <w:tcPr/>
          <w:p>
            <w:pPr>
              <w:pStyle w:val="Compact"/>
            </w:pPr>
            <w:r>
              <w:t xml:space="preserve">İlk</w:t>
            </w:r>
          </w:p>
        </w:tc>
        <w:tc>
          <w:tcPr/>
          <w:p>
            <w:pPr>
              <w:pStyle w:val="Compact"/>
            </w:pPr>
            <w:r>
              <w:t xml:space="preserve">Zirve/Dip</w:t>
            </w:r>
          </w:p>
        </w:tc>
        <w:tc>
          <w:tcPr/>
          <w:p>
            <w:pPr>
              <w:pStyle w:val="Compact"/>
            </w:pPr>
            <w:r>
              <w:t xml:space="preserve">Son</w:t>
            </w:r>
          </w:p>
        </w:tc>
        <w:tc>
          <w:tcPr/>
          <w:p>
            <w:pPr>
              <w:pStyle w:val="Compact"/>
            </w:pPr>
            <w:r>
              <w:t xml:space="preserve">%Δ</w:t>
            </w:r>
          </w:p>
        </w:tc>
        <w:tc>
          <w:tcPr/>
          <w:p>
            <w:pPr>
              <w:pStyle w:val="Compact"/>
            </w:pPr>
            <w:r>
              <w:t xml:space="preserve">Trend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INR</w:t>
            </w:r>
          </w:p>
        </w:tc>
        <w:tc>
          <w:tcPr/>
          <w:p>
            <w:pPr>
              <w:pStyle w:val="Compact"/>
            </w:pPr>
            <w:r>
              <w:t xml:space="preserve">2.0-3.0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8.46</w:t>
            </w:r>
          </w:p>
        </w:tc>
        <w:tc>
          <w:tcPr/>
          <w:p>
            <w:pPr>
              <w:pStyle w:val="Compact"/>
            </w:pPr>
            <w:r>
              <w:t xml:space="preserve">2.72</w:t>
            </w:r>
          </w:p>
        </w:tc>
        <w:tc>
          <w:tcPr/>
          <w:p>
            <w:pPr>
              <w:pStyle w:val="Compact"/>
            </w:pPr>
            <w:r>
              <w:t xml:space="preserve">+147%</w:t>
            </w:r>
          </w:p>
        </w:tc>
        <w:tc>
          <w:tcPr/>
          <w:p>
            <w:pPr>
              <w:pStyle w:val="Compact"/>
            </w:pPr>
            <w:r>
              <w:t xml:space="preserve">Hedefe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HGB</w:t>
            </w:r>
          </w:p>
        </w:tc>
        <w:tc>
          <w:tcPr/>
          <w:p>
            <w:pPr>
              <w:pStyle w:val="Compact"/>
            </w:pPr>
            <w:r>
              <w:t xml:space="preserve">13.5-17.5</w:t>
            </w:r>
          </w:p>
        </w:tc>
        <w:tc>
          <w:tcPr/>
          <w:p>
            <w:pPr>
              <w:pStyle w:val="Compact"/>
            </w:pPr>
            <w:r>
              <w:t xml:space="preserve">14.0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  <w:tc>
          <w:tcPr/>
          <w:p>
            <w:pPr>
              <w:pStyle w:val="Compact"/>
            </w:pPr>
            <w:r>
              <w:t xml:space="preserve">9.7</w:t>
            </w:r>
          </w:p>
        </w:tc>
        <w:tc>
          <w:tcPr/>
          <w:p>
            <w:pPr>
              <w:pStyle w:val="Compact"/>
            </w:pPr>
            <w:r>
              <w:t xml:space="preserve">−30.7%</w:t>
            </w:r>
          </w:p>
        </w:tc>
        <w:tc>
          <w:tcPr/>
          <w:p>
            <w:pPr>
              <w:pStyle w:val="Compact"/>
            </w:pPr>
            <w:r>
              <w:t xml:space="preserve">Anemi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MCV</w:t>
            </w:r>
          </w:p>
        </w:tc>
        <w:tc>
          <w:tcPr/>
          <w:p>
            <w:pPr>
              <w:pStyle w:val="Compact"/>
            </w:pPr>
            <w:r>
              <w:t xml:space="preserve">80-100</w:t>
            </w:r>
          </w:p>
        </w:tc>
        <w:tc>
          <w:tcPr/>
          <w:p>
            <w:pPr>
              <w:pStyle w:val="Compact"/>
            </w:pPr>
            <w:r>
              <w:t xml:space="preserve">88.0</w:t>
            </w:r>
          </w:p>
        </w:tc>
        <w:tc>
          <w:tcPr/>
          <w:p>
            <w:pPr>
              <w:pStyle w:val="Compact"/>
            </w:pPr>
            <w:r>
              <w:t xml:space="preserve">76.4</w:t>
            </w:r>
          </w:p>
        </w:tc>
        <w:tc>
          <w:tcPr/>
          <w:p>
            <w:pPr>
              <w:pStyle w:val="Compact"/>
            </w:pPr>
            <w:r>
              <w:t xml:space="preserve">76.4</w:t>
            </w:r>
          </w:p>
        </w:tc>
        <w:tc>
          <w:tcPr/>
          <w:p>
            <w:pPr>
              <w:pStyle w:val="Compact"/>
            </w:pPr>
            <w:r>
              <w:t xml:space="preserve">−13.2%</w:t>
            </w:r>
          </w:p>
        </w:tc>
        <w:tc>
          <w:tcPr/>
          <w:p>
            <w:pPr>
              <w:pStyle w:val="Compact"/>
            </w:pPr>
            <w:r>
              <w:t xml:space="preserve">Mikrositer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Ferritin</w:t>
            </w:r>
          </w:p>
        </w:tc>
        <w:tc>
          <w:tcPr/>
          <w:p>
            <w:pPr>
              <w:pStyle w:val="Compact"/>
            </w:pPr>
            <w:r>
              <w:t xml:space="preserve">30-400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Depo boş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CRP</w:t>
            </w:r>
          </w:p>
        </w:tc>
        <w:tc>
          <w:tcPr/>
          <w:p>
            <w:pPr>
              <w:pStyle w:val="Compact"/>
            </w:pPr>
            <w:r>
              <w:t xml:space="preserve">0-5</w:t>
            </w:r>
          </w:p>
        </w:tc>
        <w:tc>
          <w:tcPr/>
          <w:p>
            <w:pPr>
              <w:pStyle w:val="Compact"/>
            </w:pPr>
            <w:r>
              <w:t xml:space="preserve">2.6</w:t>
            </w:r>
          </w:p>
        </w:tc>
        <w:tc>
          <w:tcPr/>
          <w:p>
            <w:pPr>
              <w:pStyle w:val="Compact"/>
            </w:pPr>
            <w:r>
              <w:t xml:space="preserve">154</w:t>
            </w:r>
          </w:p>
        </w:tc>
        <w:tc>
          <w:tcPr/>
          <w:p>
            <w:pPr>
              <w:pStyle w:val="Compact"/>
            </w:pPr>
            <w:r>
              <w:t xml:space="preserve">11.3</w:t>
            </w:r>
          </w:p>
        </w:tc>
        <w:tc>
          <w:tcPr/>
          <w:p>
            <w:pPr>
              <w:pStyle w:val="Compact"/>
            </w:pPr>
            <w:r>
              <w:t xml:space="preserve">−92.7%</w:t>
            </w:r>
          </w:p>
        </w:tc>
        <w:tc>
          <w:tcPr/>
          <w:p>
            <w:pPr>
              <w:pStyle w:val="Compact"/>
            </w:pPr>
            <w:r>
              <w:t xml:space="preserve">Gerilemede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WBC</w:t>
            </w:r>
          </w:p>
        </w:tc>
        <w:tc>
          <w:tcPr/>
          <w:p>
            <w:pPr>
              <w:pStyle w:val="Compact"/>
            </w:pPr>
            <w:r>
              <w:t xml:space="preserve">4.5-11</w:t>
            </w:r>
          </w:p>
        </w:tc>
        <w:tc>
          <w:tcPr/>
          <w:p>
            <w:pPr>
              <w:pStyle w:val="Compact"/>
            </w:pPr>
            <w:r>
              <w:t xml:space="preserve">10.62</w:t>
            </w:r>
          </w:p>
        </w:tc>
        <w:tc>
          <w:tcPr/>
          <w:p>
            <w:pPr>
              <w:pStyle w:val="Compact"/>
            </w:pPr>
            <w:r>
              <w:t xml:space="preserve">27.1</w:t>
            </w:r>
          </w:p>
        </w:tc>
        <w:tc>
          <w:tcPr/>
          <w:p>
            <w:pPr>
              <w:pStyle w:val="Compact"/>
            </w:pPr>
            <w:r>
              <w:t xml:space="preserve">7.97</w:t>
            </w:r>
          </w:p>
        </w:tc>
        <w:tc>
          <w:tcPr/>
          <w:p>
            <w:pPr>
              <w:pStyle w:val="Compact"/>
            </w:pPr>
            <w:r>
              <w:t xml:space="preserve">−25%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Kreatinin</w:t>
            </w:r>
          </w:p>
        </w:tc>
        <w:tc>
          <w:tcPr/>
          <w:p>
            <w:pPr>
              <w:pStyle w:val="Compact"/>
            </w:pPr>
            <w:r>
              <w:t xml:space="preserve">0.6-1.3</w:t>
            </w:r>
          </w:p>
        </w:tc>
        <w:tc>
          <w:tcPr/>
          <w:p>
            <w:pPr>
              <w:pStyle w:val="Compact"/>
            </w:pPr>
            <w:r>
              <w:t xml:space="preserve">1.11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  <w:tc>
          <w:tcPr/>
          <w:p>
            <w:pPr>
              <w:pStyle w:val="Compact"/>
            </w:pPr>
            <w:r>
              <w:t xml:space="preserve">1.02</w:t>
            </w:r>
          </w:p>
        </w:tc>
        <w:tc>
          <w:tcPr/>
          <w:p>
            <w:pPr>
              <w:pStyle w:val="Compact"/>
            </w:pPr>
            <w:r>
              <w:t xml:space="preserve">−8.1%</w:t>
            </w:r>
          </w:p>
        </w:tc>
        <w:tc>
          <w:tcPr/>
          <w:p>
            <w:pPr>
              <w:pStyle w:val="Compact"/>
            </w:pPr>
            <w:r>
              <w:t xml:space="preserve">Stabil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&gt;60</w:t>
            </w:r>
          </w:p>
        </w:tc>
        <w:tc>
          <w:tcPr/>
          <w:p>
            <w:pPr>
              <w:pStyle w:val="Compact"/>
            </w:pPr>
            <w:r>
              <w:t xml:space="preserve">72.58</w:t>
            </w:r>
          </w:p>
        </w:tc>
        <w:tc>
          <w:tcPr/>
          <w:p>
            <w:pPr>
              <w:pStyle w:val="Compact"/>
            </w:pPr>
            <w:r>
              <w:t xml:space="preserve">72.58</w:t>
            </w:r>
          </w:p>
        </w:tc>
        <w:tc>
          <w:tcPr/>
          <w:p>
            <w:pPr>
              <w:pStyle w:val="Compact"/>
            </w:pPr>
            <w:r>
              <w:t xml:space="preserve">75.58</w:t>
            </w:r>
          </w:p>
        </w:tc>
        <w:tc>
          <w:tcPr/>
          <w:p>
            <w:pPr>
              <w:pStyle w:val="Compact"/>
            </w:pPr>
            <w:r>
              <w:t xml:space="preserve">+4.1%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LDL</w:t>
            </w:r>
          </w:p>
        </w:tc>
        <w:tc>
          <w:tcPr/>
          <w:p>
            <w:pPr>
              <w:pStyle w:val="Compact"/>
            </w:pPr>
            <w:r>
              <w:t xml:space="preserve">&lt;70</w:t>
            </w:r>
          </w:p>
        </w:tc>
        <w:tc>
          <w:tcPr/>
          <w:p>
            <w:pPr>
              <w:pStyle w:val="Compact"/>
            </w:pPr>
            <w:r>
              <w:t xml:space="preserve">119.6</w:t>
            </w:r>
          </w:p>
        </w:tc>
        <w:tc>
          <w:tcPr/>
          <w:p>
            <w:pPr>
              <w:pStyle w:val="Compact"/>
            </w:pPr>
            <w:r>
              <w:t xml:space="preserve">141</w:t>
            </w:r>
          </w:p>
        </w:tc>
        <w:tc>
          <w:tcPr/>
          <w:p>
            <w:pPr>
              <w:pStyle w:val="Compact"/>
            </w:pPr>
            <w:r>
              <w:t xml:space="preserve">141</w:t>
            </w:r>
          </w:p>
        </w:tc>
        <w:tc>
          <w:tcPr/>
          <w:p>
            <w:pPr>
              <w:pStyle w:val="Compact"/>
            </w:pPr>
            <w:r>
              <w:t xml:space="preserve">+17.9%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TSH</w:t>
            </w:r>
          </w:p>
        </w:tc>
        <w:tc>
          <w:tcPr/>
          <w:p>
            <w:pPr>
              <w:pStyle w:val="Compact"/>
            </w:pPr>
            <w:r>
              <w:t xml:space="preserve">0.27-4.2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−67.4%</w:t>
            </w:r>
          </w:p>
        </w:tc>
        <w:tc>
          <w:tcPr/>
          <w:p>
            <w:pPr>
              <w:pStyle w:val="Compact"/>
            </w:pPr>
            <w:r>
              <w:t xml:space="preserve">Sınırda</w:t>
            </w:r>
          </w:p>
        </w:tc>
      </w:tr>
    </w:tbl>
    <w:bookmarkEnd w:id="11"/>
    <w:bookmarkStart w:id="12" w:name="aylık-kan-basıncı-özeti"/>
    <w:p>
      <w:pPr>
        <w:pStyle w:val="Heading2"/>
      </w:pPr>
      <w:r>
        <w:t xml:space="preserve">4. Aylık Kan Basıncı Özeti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Ay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Ortalama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Mart 2026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109.2/76.8</w:t>
            </w:r>
          </w:p>
        </w:tc>
        <w:tc>
          <w:tcPr/>
          <w:p>
            <w:pPr>
              <w:pStyle w:val="Compact"/>
            </w:pPr>
            <w:r>
              <w:t xml:space="preserve">83/60</w:t>
            </w:r>
          </w:p>
        </w:tc>
        <w:tc>
          <w:tcPr/>
          <w:p>
            <w:pPr>
              <w:pStyle w:val="Compact"/>
            </w:pPr>
            <w:r>
              <w:t xml:space="preserve">154/98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Nisan 2026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109.4/77.8</w:t>
            </w:r>
          </w:p>
        </w:tc>
        <w:tc>
          <w:tcPr/>
          <w:p>
            <w:pPr>
              <w:pStyle w:val="Compact"/>
            </w:pPr>
            <w:r>
              <w:t xml:space="preserve">85/60</w:t>
            </w:r>
          </w:p>
        </w:tc>
        <w:tc>
          <w:tcPr/>
          <w:p>
            <w:pPr>
              <w:pStyle w:val="Compact"/>
            </w:pPr>
            <w:r>
              <w:t xml:space="preserve">168/103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Mayıs 2026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118.6/80.2</w:t>
            </w:r>
          </w:p>
        </w:tc>
        <w:tc>
          <w:tcPr/>
          <w:p>
            <w:pPr>
              <w:pStyle w:val="Compact"/>
            </w:pPr>
            <w:r>
              <w:t xml:space="preserve">100/68</w:t>
            </w:r>
          </w:p>
        </w:tc>
        <w:tc>
          <w:tcPr/>
          <w:p>
            <w:pPr>
              <w:pStyle w:val="Compact"/>
            </w:pPr>
            <w:r>
              <w:t xml:space="preserve">140/95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Haziran 2026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127.2/84.6</w:t>
            </w:r>
          </w:p>
        </w:tc>
        <w:tc>
          <w:tcPr/>
          <w:p>
            <w:pPr>
              <w:pStyle w:val="Compact"/>
            </w:pPr>
            <w:r>
              <w:t xml:space="preserve">109/72</w:t>
            </w:r>
          </w:p>
        </w:tc>
        <w:tc>
          <w:tcPr/>
          <w:p>
            <w:pPr>
              <w:pStyle w:val="Compact"/>
            </w:pPr>
            <w:r>
              <w:t xml:space="preserve">149/99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Temmuz 2026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124.9/83.2</w:t>
            </w:r>
          </w:p>
        </w:tc>
        <w:tc>
          <w:tcPr/>
          <w:p>
            <w:pPr>
              <w:pStyle w:val="Compact"/>
            </w:pPr>
            <w:r>
              <w:t xml:space="preserve">102/60</w:t>
            </w:r>
          </w:p>
        </w:tc>
        <w:tc>
          <w:tcPr/>
          <w:p>
            <w:pPr>
              <w:pStyle w:val="Compact"/>
            </w:pPr>
            <w:r>
              <w:t xml:space="preserve">149/101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Ağustos 2026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118.7/79.9</w:t>
            </w:r>
          </w:p>
        </w:tc>
        <w:tc>
          <w:tcPr/>
          <w:p>
            <w:pPr>
              <w:pStyle w:val="Compact"/>
            </w:pPr>
            <w:r>
              <w:t xml:space="preserve">99/65</w:t>
            </w:r>
          </w:p>
        </w:tc>
        <w:tc>
          <w:tcPr/>
          <w:p>
            <w:pPr>
              <w:pStyle w:val="Compact"/>
            </w:pPr>
            <w:r>
              <w:t xml:space="preserve">139/95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Eylül 2026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111.2/75.7</w:t>
            </w:r>
          </w:p>
        </w:tc>
        <w:tc>
          <w:tcPr/>
          <w:p>
            <w:pPr>
              <w:pStyle w:val="Compact"/>
            </w:pPr>
            <w:r>
              <w:t xml:space="preserve">103/68</w:t>
            </w:r>
          </w:p>
        </w:tc>
        <w:tc>
          <w:tcPr/>
          <w:p>
            <w:pPr>
              <w:pStyle w:val="Compact"/>
            </w:pPr>
            <w:r>
              <w:t xml:space="preserve">122/82</w:t>
            </w:r>
          </w:p>
        </w:tc>
      </w:tr>
    </w:tbl>
    <w:bookmarkEnd w:id="12"/>
    <w:bookmarkStart w:id="13" w:name="ttr-analizi"/>
    <w:p>
      <w:pPr>
        <w:pStyle w:val="Heading2"/>
      </w:pPr>
      <w:r>
        <w:t xml:space="preserve">5. TTR Analizi</w:t>
      </w:r>
    </w:p>
    <w:p>
      <w:pPr>
        <w:pStyle w:val="FirstParagraph"/>
      </w:pPr>
      <w:r>
        <w:t xml:space="preserve">38 INR ölçümü, Rosendaal lineer interpolasyonu ile</w:t>
      </w:r>
      <w:r>
        <w:t xml:space="preserve"> </w:t>
      </w:r>
      <w:r>
        <w:rPr>
          <w:b/>
          <w:bCs/>
        </w:rPr>
        <w:t xml:space="preserve">TTR %54.6</w:t>
      </w:r>
      <w:r>
        <w:t xml:space="preserve"> </w:t>
      </w:r>
      <w:r>
        <w:t xml:space="preserve">(hedef &gt;%70; Vahanian et al., 2022, s. 584; Rosendaal</w:t>
      </w:r>
      <w:r>
        <w:t xml:space="preserve"> </w:t>
      </w:r>
      <w:r>
        <w:t xml:space="preserve">et al., 1993, s. 236). Kritik sapmalar: 16 Mart 2026 INR 8.46 (supraterapötik), 27 Temmuz 2026 INR 1.17 (köprüleme</w:t>
      </w:r>
      <w:r>
        <w:t xml:space="preserve"> </w:t>
      </w:r>
      <w:r>
        <w:t xml:space="preserve">öncesi).</w:t>
      </w:r>
    </w:p>
    <w:bookmarkEnd w:id="13"/>
    <w:bookmarkStart w:id="14" w:name="interaktif-ilaç-etkileşim-matrisi"/>
    <w:p>
      <w:pPr>
        <w:pStyle w:val="Heading2"/>
      </w:pPr>
      <w:r>
        <w:t xml:space="preserve">6. İnteraktif İlaç Etkileşim Matrisi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"/>
        <w:gridCol w:w="1642"/>
        <w:gridCol w:w="469"/>
        <w:gridCol w:w="352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Çift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Mekanizma</w:t>
            </w:r>
          </w:p>
        </w:tc>
        <w:tc>
          <w:tcPr/>
          <w:p>
            <w:pPr>
              <w:pStyle w:val="Compact"/>
            </w:pPr>
            <w:r>
              <w:t xml:space="preserve">Yönetim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Warfarin × Klamoks</w:t>
            </w:r>
          </w:p>
        </w:tc>
        <w:tc>
          <w:tcPr/>
          <w:p>
            <w:pPr>
              <w:pStyle w:val="Compact"/>
            </w:pPr>
            <w:r>
              <w:t xml:space="preserve">Kritik</w:t>
            </w:r>
          </w:p>
        </w:tc>
        <w:tc>
          <w:tcPr/>
          <w:p>
            <w:pPr>
              <w:pStyle w:val="Compact"/>
            </w:pPr>
            <w:r>
              <w:t xml:space="preserve">Barsak florası K vit. sentezi baskısı + CYP2C9 inhibisyonu</w:t>
            </w:r>
          </w:p>
        </w:tc>
        <w:tc>
          <w:tcPr/>
          <w:p>
            <w:pPr>
              <w:pStyle w:val="Compact"/>
            </w:pPr>
            <w:r>
              <w:t xml:space="preserve">Kür sonrası 48-72 saat kontrol INR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Karvedilol × Perindopril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  <w:tc>
          <w:tcPr/>
          <w:p>
            <w:pPr>
              <w:pStyle w:val="Compact"/>
            </w:pPr>
            <w:r>
              <w:t xml:space="preserve">Sinerjik vazodilatasyon</w:t>
            </w:r>
          </w:p>
        </w:tc>
        <w:tc>
          <w:tcPr/>
          <w:p>
            <w:pPr>
              <w:pStyle w:val="Compact"/>
            </w:pPr>
            <w:r>
              <w:t xml:space="preserve">İlk dozda oturur pozisyon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Warfarin × Aspirin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  <w:tc>
          <w:tcPr/>
          <w:p>
            <w:pPr>
              <w:pStyle w:val="Compact"/>
            </w:pPr>
            <w:r>
              <w:t xml:space="preserve">Hemostatik plug + kaskad inhibisyonu</w:t>
            </w:r>
          </w:p>
        </w:tc>
        <w:tc>
          <w:tcPr/>
          <w:p>
            <w:pPr>
              <w:pStyle w:val="Compact"/>
            </w:pPr>
            <w:r>
              <w:t xml:space="preserve">Yıllık gaita gizli kan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Demir × Panto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  <w:tc>
          <w:tcPr/>
          <w:p>
            <w:pPr>
              <w:pStyle w:val="Compact"/>
            </w:pPr>
            <w:r>
              <w:t xml:space="preserve">Mide pH artışı demir emilimini azaltır</w:t>
            </w:r>
          </w:p>
        </w:tc>
        <w:tc>
          <w:tcPr/>
          <w:p>
            <w:pPr>
              <w:pStyle w:val="Compact"/>
            </w:pPr>
            <w:r>
              <w:t xml:space="preserve">1 saat önce uygula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Ciprofloksasin × Warfarin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  <w:tc>
          <w:tcPr/>
          <w:p>
            <w:pPr>
              <w:pStyle w:val="Compact"/>
            </w:pPr>
            <w:r>
              <w:t xml:space="preserve">CYP1A2 inhibisyonu</w:t>
            </w:r>
          </w:p>
        </w:tc>
        <w:tc>
          <w:tcPr/>
          <w:p>
            <w:pPr>
              <w:pStyle w:val="Compact"/>
            </w:pPr>
            <w:r>
              <w:t xml:space="preserve">INR takibi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Perindopril × Warfarin</w:t>
            </w:r>
          </w:p>
        </w:tc>
        <w:tc>
          <w:tcPr/>
          <w:p>
            <w:pPr>
              <w:pStyle w:val="Compact"/>
            </w:pPr>
            <w:r>
              <w:t xml:space="preserve">Orta</w:t>
            </w:r>
          </w:p>
        </w:tc>
        <w:tc>
          <w:tcPr/>
          <w:p>
            <w:pPr>
              <w:pStyle w:val="Compact"/>
            </w:pPr>
            <w:r>
              <w:t xml:space="preserve">PAI-1 azalması</w:t>
            </w:r>
          </w:p>
        </w:tc>
        <w:tc>
          <w:tcPr/>
          <w:p>
            <w:pPr>
              <w:pStyle w:val="Compact"/>
            </w:pPr>
            <w:r>
              <w:t xml:space="preserve">Rutin takip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Panto × Aspirin × Warfarin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  <w:tc>
          <w:tcPr/>
          <w:p>
            <w:pPr>
              <w:pStyle w:val="Compact"/>
            </w:pPr>
            <w:r>
              <w:t xml:space="preserve">Kombine kanama riski</w:t>
            </w:r>
          </w:p>
        </w:tc>
        <w:tc>
          <w:tcPr/>
          <w:p>
            <w:pPr>
              <w:pStyle w:val="Compact"/>
            </w:pPr>
            <w:r>
              <w:t xml:space="preserve">Endoskopik takip</w:t>
            </w:r>
          </w:p>
        </w:tc>
      </w:tr>
    </w:tbl>
    <w:bookmarkEnd w:id="14"/>
    <w:bookmarkStart w:id="15" w:name="kronolojik-klinik-zaman-çizelgesi"/>
    <w:p>
      <w:pPr>
        <w:pStyle w:val="Heading2"/>
      </w:pPr>
      <w:r>
        <w:t xml:space="preserve">7. Kronolojik Klinik Zaman Çizelgesi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 Şub 2026:</w:t>
      </w:r>
      <w:r>
        <w:t xml:space="preserve"> </w:t>
      </w:r>
      <w:r>
        <w:t xml:space="preserve">Defne DH → MKÜ → Kırıkhan DH → İskenderun Gelişim (acil sevk zinciri)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 Şub 2026:</w:t>
      </w:r>
      <w:r>
        <w:t xml:space="preserve"> </w:t>
      </w:r>
      <w:r>
        <w:t xml:space="preserve">Bentall prosedürü (32 mm Dacron + 25 mm Carbomedics)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02 Mar 2026:</w:t>
      </w:r>
      <w:r>
        <w:t xml:space="preserve"> </w:t>
      </w:r>
      <w:r>
        <w:t xml:space="preserve">Şifa ile taburcu, yaşam boyu warfarin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16 Mar 2026:</w:t>
      </w:r>
      <w:r>
        <w:t xml:space="preserve"> </w:t>
      </w:r>
      <w:r>
        <w:t xml:space="preserve">INR 8.46 zirve, aspirin kesildi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30-31 Mar 2026:</w:t>
      </w:r>
      <w:r>
        <w:t xml:space="preserve"> </w:t>
      </w:r>
      <w:r>
        <w:t xml:space="preserve">Genel Cerrahi yatışı (kabızlık, lavman)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16-18 Nis 2026:</w:t>
      </w:r>
      <w:r>
        <w:t xml:space="preserve"> </w:t>
      </w:r>
      <w:r>
        <w:t xml:space="preserve">Ardışık 3 hipertansif kriz (168/103 mmHg zirve)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23-28 Tem 2026:</w:t>
      </w:r>
      <w:r>
        <w:t xml:space="preserve"> </w:t>
      </w:r>
      <w:r>
        <w:t xml:space="preserve">Sternal dehissens revizyonu, kan transfüzyonu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04 Ağu 2026:</w:t>
      </w:r>
      <w:r>
        <w:t xml:space="preserve"> </w:t>
      </w:r>
      <w:r>
        <w:t xml:space="preserve">Coversyl eklendi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04 Eyl 2026:</w:t>
      </w:r>
      <w:r>
        <w:t xml:space="preserve"> </w:t>
      </w:r>
      <w:r>
        <w:t xml:space="preserve">Klamoks ampirik başlandı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09 Eyl 2026:</w:t>
      </w:r>
      <w:r>
        <w:t xml:space="preserve"> </w:t>
      </w:r>
      <w:r>
        <w:t xml:space="preserve">Stabil takip</w:t>
      </w:r>
    </w:p>
    <w:bookmarkEnd w:id="15"/>
    <w:bookmarkStart w:id="16" w:name="branş-bazlı-eylem-planı"/>
    <w:p>
      <w:pPr>
        <w:pStyle w:val="Heading2"/>
      </w:pPr>
      <w:r>
        <w:t xml:space="preserve">8. Branş Bazlı Eylem Planı</w:t>
      </w:r>
    </w:p>
    <w:p>
      <w:pPr>
        <w:pStyle w:val="FirstParagraph"/>
      </w:pPr>
      <w:r>
        <w:rPr>
          <w:b/>
          <w:bCs/>
        </w:rPr>
        <w:t xml:space="preserve">Hematoloji:</w:t>
      </w:r>
      <w:r>
        <w:t xml:space="preserve"> </w:t>
      </w:r>
      <w:r>
        <w:t xml:space="preserve">IV Ferrik Karboksimaltoz 500-1000 mg (Ferritin &lt;100; McDonagh et al., 2021, s. 3649).</w:t>
      </w:r>
      <w:r>
        <w:t xml:space="preserve"> </w:t>
      </w:r>
      <w:r>
        <w:rPr>
          <w:b/>
          <w:bCs/>
        </w:rPr>
        <w:t xml:space="preserve">Kardiyoloji:</w:t>
      </w:r>
      <w:r>
        <w:t xml:space="preserve"> </w:t>
      </w:r>
      <w:r>
        <w:t xml:space="preserve">Klamoks sonrası kontrol INR; LDL 141 için statin (ESC 2024).</w:t>
      </w:r>
      <w:r>
        <w:t xml:space="preserve"> </w:t>
      </w:r>
      <w:r>
        <w:rPr>
          <w:b/>
          <w:bCs/>
        </w:rPr>
        <w:t xml:space="preserve">KVC/Radyoloji:</w:t>
      </w:r>
      <w:r>
        <w:t xml:space="preserve"> </w:t>
      </w:r>
      <w:r>
        <w:t xml:space="preserve">6-aylık kontrol aort BT Anjiyografi</w:t>
      </w:r>
      <w:r>
        <w:t xml:space="preserve"> </w:t>
      </w:r>
      <w:r>
        <w:t xml:space="preserve">(Fleischmann et al., 2022).</w:t>
      </w:r>
      <w:r>
        <w:t xml:space="preserve"> </w:t>
      </w:r>
      <w:r>
        <w:rPr>
          <w:b/>
          <w:bCs/>
        </w:rPr>
        <w:t xml:space="preserve">Enfeksiyon:</w:t>
      </w:r>
      <w:r>
        <w:t xml:space="preserve"> </w:t>
      </w:r>
      <w:r>
        <w:t xml:space="preserve">Diş işlemleri öncesi amoksisilin 2 g profilaksi (Habib et al., 2015).</w:t>
      </w:r>
      <w:r>
        <w:t xml:space="preserve"> </w:t>
      </w:r>
      <w:r>
        <w:rPr>
          <w:b/>
          <w:bCs/>
        </w:rPr>
        <w:t xml:space="preserve">Genel Cerrahi:</w:t>
      </w:r>
      <w:r>
        <w:t xml:space="preserve"> </w:t>
      </w:r>
      <w:r>
        <w:t xml:space="preserve">Sternal yara takibi; CRP &lt;5 hedefi.</w:t>
      </w:r>
      <w:r>
        <w:t xml:space="preserve"> </w:t>
      </w:r>
      <w:r>
        <w:rPr>
          <w:b/>
          <w:bCs/>
        </w:rPr>
        <w:t xml:space="preserve">Kardiyoloji:</w:t>
      </w:r>
      <w:r>
        <w:t xml:space="preserve"> </w:t>
      </w:r>
      <w:r>
        <w:t xml:space="preserve">BP hedefi sürdürme (McEvoy et al., 2024).</w:t>
      </w:r>
      <w:r>
        <w:t xml:space="preserve"> </w:t>
      </w:r>
      <w:r>
        <w:rPr>
          <w:b/>
          <w:bCs/>
        </w:rPr>
        <w:t xml:space="preserve">Nefroloji:</w:t>
      </w:r>
      <w:r>
        <w:t xml:space="preserve"> </w:t>
      </w:r>
      <w:r>
        <w:t xml:space="preserve">Kreatinin ve potasyum stabil takip (KDIGO 2023).</w:t>
      </w:r>
    </w:p>
    <w:bookmarkEnd w:id="16"/>
    <w:bookmarkStart w:id="17" w:name="kaynakça-apa-7th-edition"/>
    <w:p>
      <w:pPr>
        <w:pStyle w:val="Heading2"/>
      </w:pPr>
      <w:r>
        <w:t xml:space="preserve">9. Kaynakça (APA 7th Edition)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Isselbacher, E. M., Preventza, O., Hamilton Black, J., et al. (2022).</w:t>
      </w:r>
      <w:r>
        <w:t xml:space="preserve"> </w:t>
      </w:r>
      <w:r>
        <w:t xml:space="preserve">2022 ACC/AHA Guideline for the Diagnosis and Management of Aortic Disease.</w:t>
      </w:r>
      <w:r>
        <w:t xml:space="preserve"> </w:t>
      </w:r>
      <w:r>
        <w:rPr>
          <w:i/>
          <w:iCs/>
        </w:rPr>
        <w:t xml:space="preserve">Circulation</w:t>
      </w:r>
      <w:r>
        <w:t xml:space="preserve">, 146(24), e334–e482.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Vahanian, A., Beyersdorf, F., Praz, F., et al. (2022).</w:t>
      </w:r>
      <w:r>
        <w:t xml:space="preserve"> </w:t>
      </w:r>
      <w:r>
        <w:t xml:space="preserve">2021 ESC/EACTS Guidelines for the management of valvular heart disease.</w:t>
      </w:r>
      <w:r>
        <w:t xml:space="preserve"> </w:t>
      </w:r>
      <w:r>
        <w:rPr>
          <w:i/>
          <w:iCs/>
        </w:rPr>
        <w:t xml:space="preserve">European Heart Journal</w:t>
      </w:r>
      <w:r>
        <w:t xml:space="preserve">, 43(7), 561–632.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Delgado, V., Ajmone Marsan, N., de Waha, S., et al. (2023).</w:t>
      </w:r>
      <w:r>
        <w:t xml:space="preserve"> </w:t>
      </w:r>
      <w:r>
        <w:t xml:space="preserve">2023 ESC Guidelines for the management of endocarditis.</w:t>
      </w:r>
      <w:r>
        <w:t xml:space="preserve"> </w:t>
      </w:r>
      <w:r>
        <w:rPr>
          <w:i/>
          <w:iCs/>
        </w:rPr>
        <w:t xml:space="preserve">European Heart Journal</w:t>
      </w:r>
      <w:r>
        <w:t xml:space="preserve">, 44(39), 3948–4042.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Czerny, M., Grabenwöger, M., Berger, T., et al. (2024).</w:t>
      </w:r>
      <w:r>
        <w:t xml:space="preserve"> </w:t>
      </w:r>
      <w:r>
        <w:t xml:space="preserve">EACTS/STS Guidelines for diagnosing and treating acute and chronic syndromes of the aortic organ.</w:t>
      </w:r>
      <w:r>
        <w:t xml:space="preserve"> </w:t>
      </w:r>
      <w:r>
        <w:rPr>
          <w:i/>
          <w:iCs/>
        </w:rPr>
        <w:t xml:space="preserve">European Journal of Cardio-Thoracic Surgery</w:t>
      </w:r>
      <w:r>
        <w:t xml:space="preserve">, 65(2), ezad426.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McEvoy, J. W., McCarthy, C. P., Bruno, R. M., et al. (2024).</w:t>
      </w:r>
      <w:r>
        <w:t xml:space="preserve"> </w:t>
      </w:r>
      <w:r>
        <w:t xml:space="preserve">2024 ESC Guidelines for the management of elevated blood pressure and hypertension.</w:t>
      </w:r>
      <w:r>
        <w:t xml:space="preserve"> </w:t>
      </w:r>
      <w:r>
        <w:rPr>
          <w:i/>
          <w:iCs/>
        </w:rPr>
        <w:t xml:space="preserve">European Heart Journal</w:t>
      </w:r>
      <w:r>
        <w:t xml:space="preserve">, 45(38), 3897–3972.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Fleischmann, D., Afifi, R. O., Casanegra, A. I., et al. (2022).</w:t>
      </w:r>
      <w:r>
        <w:t xml:space="preserve"> </w:t>
      </w:r>
      <w:r>
        <w:t xml:space="preserve">Imaging and Surveillance of Chronic Aortic Dissection: A Scientific Statement from the American Heart Association.</w:t>
      </w:r>
      <w:r>
        <w:t xml:space="preserve"> </w:t>
      </w:r>
      <w:r>
        <w:rPr>
          <w:i/>
          <w:iCs/>
        </w:rPr>
        <w:t xml:space="preserve">Circulation: Cardiovascular Imaging</w:t>
      </w:r>
      <w:r>
        <w:t xml:space="preserve">, 15(3), e000075.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Goddard, A. F., James, M. W., McIntyre, A. S., &amp; Scott, B. B. (2021).</w:t>
      </w:r>
      <w:r>
        <w:t xml:space="preserve"> </w:t>
      </w:r>
      <w:r>
        <w:t xml:space="preserve">British Society of Gastroenterology guidelines for the management of iron deficiency anaemia in adults.</w:t>
      </w:r>
      <w:r>
        <w:t xml:space="preserve"> </w:t>
      </w:r>
      <w:r>
        <w:rPr>
          <w:i/>
          <w:iCs/>
        </w:rPr>
        <w:t xml:space="preserve">Gut</w:t>
      </w:r>
      <w:r>
        <w:t xml:space="preserve">, 70(11), 2030–2051.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McDonagh, T. A., Metra, M., Adamo, M., et al. (2021).</w:t>
      </w:r>
      <w:r>
        <w:t xml:space="preserve"> </w:t>
      </w:r>
      <w:r>
        <w:t xml:space="preserve">2021 ESC Guidelines for the diagnosis and treatment of acute and chronic heart failure.</w:t>
      </w:r>
      <w:r>
        <w:t xml:space="preserve"> </w:t>
      </w:r>
      <w:r>
        <w:rPr>
          <w:i/>
          <w:iCs/>
        </w:rPr>
        <w:t xml:space="preserve">European Heart Journal</w:t>
      </w:r>
      <w:r>
        <w:t xml:space="preserve">, 42(36), 3599–3726.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Rosendaal, F. R., Cannegieter, S. C., van der Meer, F. J., &amp; Briët, E. (1993).</w:t>
      </w:r>
      <w:r>
        <w:t xml:space="preserve"> </w:t>
      </w:r>
      <w:r>
        <w:t xml:space="preserve">A method to determine the optimal intensity of oral anticoagulant therapy.</w:t>
      </w:r>
      <w:r>
        <w:t xml:space="preserve"> </w:t>
      </w:r>
      <w:r>
        <w:rPr>
          <w:i/>
          <w:iCs/>
        </w:rPr>
        <w:t xml:space="preserve">Thrombosis and Haemostasis</w:t>
      </w:r>
      <w:r>
        <w:t xml:space="preserve">, 69(3), 236–239.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KDIGO. (2024).</w:t>
      </w:r>
      <w:r>
        <w:t xml:space="preserve"> </w:t>
      </w:r>
      <w:r>
        <w:t xml:space="preserve">Clinical Practice Guideline for the Evaluation and Management of Chronic Kidney Disease.</w:t>
      </w:r>
      <w:r>
        <w:t xml:space="preserve"> </w:t>
      </w:r>
      <w:r>
        <w:rPr>
          <w:i/>
          <w:iCs/>
        </w:rPr>
        <w:t xml:space="preserve">Kidney International</w:t>
      </w:r>
      <w:r>
        <w:t xml:space="preserve">, 105(4S), S117–S314.</w:t>
      </w:r>
    </w:p>
    <w:bookmarkEnd w:id="17"/>
    <w:bookmarkStart w:id="18" w:name="sorumluluk-reddi"/>
    <w:p>
      <w:pPr>
        <w:pStyle w:val="Heading2"/>
      </w:pPr>
      <w:r>
        <w:t xml:space="preserve">10. Sorumluluk Reddi</w:t>
      </w:r>
    </w:p>
    <w:p>
      <w:pPr>
        <w:pStyle w:val="FirstParagraph"/>
      </w:pPr>
      <w:r>
        <w:t xml:space="preserve">Bu rapor, hastanın nesnel klinik verilerinin uluslararası kılavuzlarla sentezlenmesi sonucu oluşturulmuş bir</w:t>
      </w:r>
      <w:r>
        <w:t xml:space="preserve"> </w:t>
      </w:r>
      <w:r>
        <w:rPr>
          <w:b/>
          <w:bCs/>
        </w:rPr>
        <w:t xml:space="preserve">klinik</w:t>
      </w:r>
      <w:r>
        <w:rPr>
          <w:b/>
          <w:bCs/>
        </w:rPr>
        <w:t xml:space="preserve"> </w:t>
      </w:r>
      <w:r>
        <w:rPr>
          <w:b/>
          <w:bCs/>
        </w:rPr>
        <w:t xml:space="preserve">karar destek aracıdır</w:t>
      </w:r>
      <w:r>
        <w:t xml:space="preserve">. Tıbbi tanı, reçete veya tedavi kararı niteliği taşımaz. Nihai kararlar tedavi eden hekim</w:t>
      </w:r>
      <w:r>
        <w:t xml:space="preserve"> </w:t>
      </w:r>
      <w:r>
        <w:t xml:space="preserve">heyetine aittir. Rapor kodu: CLN-360-KDD-20260909.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2026-09-10T09:17:13Z</dcterms:created>
  <dcterms:modified xsi:type="dcterms:W3CDTF">2026-09-10T09:17:13Z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