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d31d8421a9922e3fafac91d25bf2b79e81f9a92"/>
    <w:p>
      <w:pPr>
        <w:pStyle w:val="Heading1"/>
      </w:pPr>
      <w:r>
        <w:t xml:space="preserve">360° KAPSAMLI KLİNİK YÖNETİCİ VE KARAR DESTEK RAPORU</w:t>
      </w:r>
    </w:p>
    <w:p>
      <w:pPr>
        <w:pStyle w:val="FirstParagraph"/>
      </w:pPr>
      <w:r>
        <w:rPr>
          <w:b/>
          <w:bCs/>
        </w:rPr>
        <w:t xml:space="preserve">T.C. SAĞLIK BAKANLIĞI VE ÖZEL SAĞLIK KURUMLARI BİLGİ SİSTEMLERİ VERİ ENTEGRASYONU</w:t>
      </w:r>
      <w:r>
        <w:br/>
      </w:r>
      <w:r>
        <w:rPr>
          <w:i/>
          <w:iCs/>
        </w:rPr>
        <w:t xml:space="preserve">Rapor Tarihi: 10 Eylül 2026 | Değerlendirme Evresi: Ameliyat Sonrası 204. Gün (6.6 Ay)</w:t>
      </w:r>
      <w:r>
        <w:br/>
      </w:r>
      <w:r>
        <w:rPr>
          <w:i/>
          <w:iCs/>
        </w:rPr>
        <w:t xml:space="preserve">Hasta Adı: Alaattin SÖNMEZ | T.C. Kimlik No: 00000000000 | Yaş/Cinsiyet: 64E (01.01.1962) | Kan Grubu: 0 Rh (+)Pozitif</w:t>
      </w:r>
    </w:p>
    <w:p>
      <w:r>
        <w:pict>
          <v:rect style="width:0;height:1.5pt" o:hralign="center" o:hrstd="t" o:hr="t"/>
        </w:pict>
      </w:r>
    </w:p>
    <w:bookmarkStart w:id="10" w:name="yönetici-özeti-ve-klinik-indeksler"/>
    <w:p>
      <w:pPr>
        <w:pStyle w:val="Heading2"/>
      </w:pPr>
      <w:r>
        <w:t xml:space="preserve">1. YÖNETİCİ ÖZETİ VE KLİNİK İNDEKSLER</w:t>
      </w:r>
    </w:p>
    <w:bookmarkStart w:id="9" w:name="biyometrik-ve-klinik-künye"/>
    <w:p>
      <w:pPr>
        <w:pStyle w:val="Heading3"/>
      </w:pPr>
      <w:r>
        <w:t xml:space="preserve">1.1. Biyometrik ve Klinik Künye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Primer Tanılar:</w:t>
      </w:r>
      <w:r>
        <w:t xml:space="preserve"> </w:t>
      </w:r>
      <w:r>
        <w:t xml:space="preserve">Stanford Tip A Aort Diseksiyonu (DeBakey Tip I), 5.3 cm Asendan Aort Anevrizması, Ciddi Aort Kapak</w:t>
      </w:r>
      <w:r>
        <w:t xml:space="preserve"> </w:t>
      </w:r>
      <w:r>
        <w:t xml:space="preserve">Yetmezliği</w:t>
      </w:r>
      <w:r>
        <w:t xml:space="preserve"> </w:t>
      </w:r>
      <w:r>
        <w:rPr>
          <w:i/>
          <w:iCs/>
        </w:rPr>
        <w:t xml:space="preserve">(Hagan et al., 2000 [17]; Erbel et al., 2014 [15])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Cerrahi Operasyon:</w:t>
      </w:r>
      <w:r>
        <w:t xml:space="preserve"> </w:t>
      </w:r>
      <w:r>
        <w:t xml:space="preserve">Acil Bentall Prosedürü (20 Şubat 2026, Özel İskenderun Gelişim Hastanesi, Doç. Dr. Emre Kubat).</w:t>
      </w:r>
      <w:r>
        <w:t xml:space="preserve"> </w:t>
      </w:r>
      <w:r>
        <w:t xml:space="preserve">32 mm dokuma Dacron vasküler greft (Maquet Intergard Bovine), 25 mm çift yapraklı mekanik aort protezi (CORCYM</w:t>
      </w:r>
      <w:r>
        <w:t xml:space="preserve"> </w:t>
      </w:r>
      <w:r>
        <w:t xml:space="preserve">Carbomedics Standard Aortic) ve koroner buton reimplantasyonu</w:t>
      </w:r>
      <w:r>
        <w:t xml:space="preserve"> </w:t>
      </w:r>
      <w:r>
        <w:rPr>
          <w:i/>
          <w:iCs/>
        </w:rPr>
        <w:t xml:space="preserve">(Bentall &amp; De Bono, 1968 [19]; Lau et al., 2022 [21])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Sekonder Cerrahi / Komplikasyon:</w:t>
      </w:r>
      <w:r>
        <w:t xml:space="preserve"> </w:t>
      </w:r>
      <w:r>
        <w:t xml:space="preserve">Sternal yara dehissensi ve derin enfeksiyon revizyonu (23–28 Temmuz 2026,</w:t>
      </w:r>
      <w:r>
        <w:t xml:space="preserve"> </w:t>
      </w:r>
      <w:r>
        <w:t xml:space="preserve">debridman, rewiring çelik sütürasyon, kan transfüzyonu)</w:t>
      </w:r>
      <w:r>
        <w:t xml:space="preserve"> </w:t>
      </w:r>
      <w:r>
        <w:rPr>
          <w:i/>
          <w:iCs/>
        </w:rPr>
        <w:t xml:space="preserve">(El Oakley &amp; Wright, 1996 [13]; Kaul, 2017 [31])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Temel Klinik Göstergeler (08–10 Eylül 2026):</w:t>
      </w:r>
    </w:p>
    <w:p>
      <w:pPr>
        <w:pStyle w:val="Compact"/>
        <w:numPr>
          <w:ilvl w:val="1"/>
          <w:numId w:val="1002"/>
        </w:numPr>
      </w:pPr>
      <w:r>
        <w:t xml:space="preserve">Kan Basıncı (7 Günlük Ortalama):</w:t>
      </w:r>
      <w:r>
        <w:t xml:space="preserve"> </w:t>
      </w:r>
      <w:r>
        <w:rPr>
          <w:b/>
          <w:bCs/>
        </w:rPr>
        <w:t xml:space="preserve">111.4 / 76.2 mmHg</w:t>
      </w:r>
      <w:r>
        <w:t xml:space="preserve"> </w:t>
      </w:r>
      <w:r>
        <w:t xml:space="preserve">(Hedef</w:t>
      </w:r>
      <w:r>
        <w:t xml:space="preserve"> </w:t>
      </w:r>
      <m:oMath>
        <m:r>
          <m:rPr>
            <m:sty m:val="p"/>
          </m:rPr>
          <m:t>≤</m:t>
        </m:r>
        <m:r>
          <m:t>120</m:t>
        </m:r>
        <m:r>
          <m:rPr>
            <m:sty m:val="p"/>
          </m:rPr>
          <m:t>/</m:t>
        </m:r>
        <m:r>
          <m:t>80</m:t>
        </m:r>
      </m:oMath>
      <w:r>
        <w:t xml:space="preserve"> </w:t>
      </w:r>
      <w:r>
        <w:t xml:space="preserve">mmHg ile uyumlu)</w:t>
      </w:r>
      <w:r>
        <w:t xml:space="preserve"> </w:t>
      </w:r>
      <w:r>
        <w:rPr>
          <w:i/>
          <w:iCs/>
        </w:rPr>
        <w:t xml:space="preserve">(Mancia et al.,</w:t>
      </w:r>
      <w:r>
        <w:rPr>
          <w:i/>
          <w:iCs/>
        </w:rPr>
        <w:t xml:space="preserve"> </w:t>
      </w:r>
      <w:r>
        <w:rPr>
          <w:i/>
          <w:iCs/>
        </w:rPr>
        <w:t xml:space="preserve">2023 [1])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Koagülasyon (Son INR):</w:t>
      </w:r>
      <w:r>
        <w:t xml:space="preserve"> </w:t>
      </w:r>
      <w:r>
        <w:rPr>
          <w:b/>
          <w:bCs/>
        </w:rPr>
        <w:t xml:space="preserve">2.72</w:t>
      </w:r>
      <w:r>
        <w:t xml:space="preserve"> </w:t>
      </w:r>
      <w:r>
        <w:t xml:space="preserve">(Mekanik aort kapağı hedef aralığı 2.0–3.0 içinde)</w:t>
      </w:r>
      <w:r>
        <w:t xml:space="preserve"> </w:t>
      </w:r>
      <w:r>
        <w:rPr>
          <w:i/>
          <w:iCs/>
        </w:rPr>
        <w:t xml:space="preserve">(Vahanian et al., 2022 [4])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Terapötik Aralıkta Kalma Süresi (Rosendaal TTR):</w:t>
      </w:r>
      <w:r>
        <w:t xml:space="preserve"> </w:t>
      </w:r>
      <w:r>
        <w:rPr>
          <w:b/>
          <w:bCs/>
        </w:rPr>
        <w:t xml:space="preserve">%54.6</w:t>
      </w:r>
      <w:r>
        <w:t xml:space="preserve"> </w:t>
      </w:r>
      <w:r>
        <w:t xml:space="preserve">(Labil antikoagülasyon göstergesi)</w:t>
      </w:r>
      <w:r>
        <w:t xml:space="preserve"> </w:t>
      </w:r>
      <w:r>
        <w:rPr>
          <w:i/>
          <w:iCs/>
        </w:rPr>
        <w:t xml:space="preserve">(Rosendaal et al.,</w:t>
      </w:r>
      <w:r>
        <w:rPr>
          <w:i/>
          <w:iCs/>
        </w:rPr>
        <w:t xml:space="preserve"> </w:t>
      </w:r>
      <w:r>
        <w:rPr>
          <w:i/>
          <w:iCs/>
        </w:rPr>
        <w:t xml:space="preserve">1993 [6])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Hemoglobin / Hematokrit:</w:t>
      </w:r>
      <w:r>
        <w:t xml:space="preserve"> </w:t>
      </w:r>
      <w:r>
        <w:rPr>
          <w:b/>
          <w:bCs/>
        </w:rPr>
        <w:t xml:space="preserve">9.7 g/dL / %29.7</w:t>
      </w:r>
      <w:r>
        <w:t xml:space="preserve"> </w:t>
      </w:r>
      <w:r>
        <w:t xml:space="preserve">(Ağır mikrositer demir eksikliği anemisi)</w:t>
      </w:r>
      <w:r>
        <w:t xml:space="preserve"> </w:t>
      </w:r>
      <w:r>
        <w:rPr>
          <w:i/>
          <w:iCs/>
        </w:rPr>
        <w:t xml:space="preserve">(Goddard et al.,</w:t>
      </w:r>
      <w:r>
        <w:rPr>
          <w:i/>
          <w:iCs/>
        </w:rPr>
        <w:t xml:space="preserve"> </w:t>
      </w:r>
      <w:r>
        <w:rPr>
          <w:i/>
          <w:iCs/>
        </w:rPr>
        <w:t xml:space="preserve">2021 [9])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Serum Ferritini / Serum Demiri:</w:t>
      </w:r>
      <w:r>
        <w:t xml:space="preserve"> </w:t>
      </w:r>
      <w:r>
        <w:rPr>
          <w:b/>
          <w:bCs/>
        </w:rPr>
        <w:t xml:space="preserve">19.0 µg/L / 15.0 µg/dL</w:t>
      </w:r>
      <w:r>
        <w:t xml:space="preserve"> </w:t>
      </w:r>
      <w:r>
        <w:t xml:space="preserve">(Tükenmiş demir depoları)</w:t>
      </w:r>
      <w:r>
        <w:t xml:space="preserve"> </w:t>
      </w:r>
      <w:r>
        <w:rPr>
          <w:i/>
          <w:iCs/>
        </w:rPr>
        <w:t xml:space="preserve">(Snook et al., 2021 [10])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C-Reaktif Protein (CRP):</w:t>
      </w:r>
      <w:r>
        <w:t xml:space="preserve"> </w:t>
      </w:r>
      <w:r>
        <w:rPr>
          <w:b/>
          <w:bCs/>
        </w:rPr>
        <w:t xml:space="preserve">11.3 mg/L</w:t>
      </w:r>
      <w:r>
        <w:t xml:space="preserve"> </w:t>
      </w:r>
      <w:r>
        <w:t xml:space="preserve">(Referans: 0–5 mg/L; gerileme trendinde)</w:t>
      </w:r>
      <w:r>
        <w:t xml:space="preserve"> </w:t>
      </w:r>
      <w:r>
        <w:rPr>
          <w:i/>
          <w:iCs/>
        </w:rPr>
        <w:t xml:space="preserve">(Horan et al., 2008 [11])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Böbrek / Karaciğer Fonksiyonları: Kreatinin 1.02 mg/dL, eGFR 75.58 mL/dk, ALT 14 U/L, AST 14 U/L (Tamamen</w:t>
      </w:r>
      <w:r>
        <w:t xml:space="preserve"> </w:t>
      </w:r>
      <w:r>
        <w:t xml:space="preserve">korunmuş)</w:t>
      </w:r>
      <w:r>
        <w:t xml:space="preserve"> </w:t>
      </w:r>
      <w:r>
        <w:rPr>
          <w:i/>
          <w:iCs/>
        </w:rPr>
        <w:t xml:space="preserve">(Inker et al., 2021 [95])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4" w:name="X83d292c903cb571a72002024dd06fd9dd99988f"/>
    <w:p>
      <w:pPr>
        <w:pStyle w:val="Heading2"/>
      </w:pPr>
      <w:r>
        <w:t xml:space="preserve">2. PATOFİZYOLOJİK VE ÇOK DİSİPLİNLİ DEĞERLENDİRME</w:t>
      </w:r>
    </w:p>
    <w:bookmarkStart w:id="11" w:name="X4eaa04b9e5b7f5539cc4267900603e4fadbd93c"/>
    <w:p>
      <w:pPr>
        <w:pStyle w:val="Heading3"/>
      </w:pPr>
      <w:r>
        <w:t xml:space="preserve">2.1. Hemodinamik Stres ve Kronik Rezidüel Tip B Diseksiyon Dinamiği</w:t>
      </w:r>
    </w:p>
    <w:p>
      <w:pPr>
        <w:pStyle w:val="FirstParagraph"/>
      </w:pPr>
      <w:r>
        <w:t xml:space="preserve">Hasta, ameliyat lojunda intakt 32 mm Dacron greft taşımakla birlikte; arkus aortadan başlayıp iliak bifurkasyona dek</w:t>
      </w:r>
      <w:r>
        <w:t xml:space="preserve"> </w:t>
      </w:r>
      <w:r>
        <w:t xml:space="preserve">uzanan patent bir rezidüel Tip B diseksiyon flebine sahiptir</w:t>
      </w:r>
      <w:r>
        <w:t xml:space="preserve"> </w:t>
      </w:r>
      <w:r>
        <w:rPr>
          <w:i/>
          <w:iCs/>
        </w:rPr>
        <w:t xml:space="preserve">(Fleischmann et al., 2022 [14])</w:t>
      </w:r>
      <w:r>
        <w:t xml:space="preserve">. Aort duvarındaki lümen</w:t>
      </w:r>
      <w:r>
        <w:t xml:space="preserve"> </w:t>
      </w:r>
      <w:r>
        <w:t xml:space="preserve">içi pulsatif gerilim ve kesme gerilimi (</w:t>
      </w:r>
      <m:oMath>
        <m:r>
          <m:t>d</m:t>
        </m:r>
        <m:r>
          <m:t>P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), sistolik kan basıncı ile doğrudan orantılıdır</w:t>
      </w:r>
      <w:r>
        <w:t xml:space="preserve"> </w:t>
      </w:r>
      <w:r>
        <w:rPr>
          <w:i/>
          <w:iCs/>
        </w:rPr>
        <w:t xml:space="preserve">(Evangelista et al.,</w:t>
      </w:r>
      <w:r>
        <w:rPr>
          <w:i/>
          <w:iCs/>
        </w:rPr>
        <w:t xml:space="preserve"> </w:t>
      </w:r>
      <w:r>
        <w:rPr>
          <w:i/>
          <w:iCs/>
        </w:rPr>
        <w:t xml:space="preserve">2024 [3])</w:t>
      </w:r>
      <w:r>
        <w:t xml:space="preserve">. Nisan 2026 ortasında evde yaşanan 168/103 mmHg seviyesindeki hipertansif sıçramalar, anevrizmatik yalancı</w:t>
      </w:r>
      <w:r>
        <w:t xml:space="preserve"> </w:t>
      </w:r>
      <w:r>
        <w:t xml:space="preserve">lümen rüptürü açısından kritik risk teşkil etmiştir</w:t>
      </w:r>
      <w:r>
        <w:t xml:space="preserve"> </w:t>
      </w:r>
      <w:r>
        <w:rPr>
          <w:i/>
          <w:iCs/>
        </w:rPr>
        <w:t xml:space="preserve">(Melby et al., 2013 [22])</w:t>
      </w:r>
      <w:r>
        <w:t xml:space="preserve">. Karvedilol (Dilatrend 6.25 mg 2x1) ile</w:t>
      </w:r>
      <w:r>
        <w:t xml:space="preserve"> </w:t>
      </w:r>
      <w:r>
        <w:t xml:space="preserve">miyokard kontraktilitesi baskılanırken, Ağustos ayında eklenen perindopril (Coversyl 5 mg 1x1) vasküler rezistansı</w:t>
      </w:r>
      <w:r>
        <w:t xml:space="preserve"> </w:t>
      </w:r>
      <w:r>
        <w:t xml:space="preserve">kırarak Eylül ayı ortalamasını 111 mmHg seviyesine çekmiştir</w:t>
      </w:r>
      <w:r>
        <w:t xml:space="preserve"> </w:t>
      </w:r>
      <w:r>
        <w:rPr>
          <w:i/>
          <w:iCs/>
        </w:rPr>
        <w:t xml:space="preserve">(Tadros et al., 2019 [24])</w:t>
      </w:r>
      <w:r>
        <w:t xml:space="preserve">.</w:t>
      </w:r>
    </w:p>
    <w:bookmarkEnd w:id="11"/>
    <w:bookmarkStart w:id="12" w:name="X4d1858a7dfcb283689301c64d270739b97e08c3"/>
    <w:p>
      <w:pPr>
        <w:pStyle w:val="Heading3"/>
      </w:pPr>
      <w:r>
        <w:t xml:space="preserve">2.2. Tromboembolizm, Kanama ve İlaç Etkileşim Kinetiği</w:t>
      </w:r>
    </w:p>
    <w:p>
      <w:pPr>
        <w:pStyle w:val="FirstParagraph"/>
      </w:pPr>
      <w:r>
        <w:t xml:space="preserve">Bileaflet mekanik aort kapağı taşıyan hastada ömür boyu Warfarin kullanımı esastır</w:t>
      </w:r>
      <w:r>
        <w:t xml:space="preserve"> </w:t>
      </w:r>
      <w:r>
        <w:rPr>
          <w:i/>
          <w:iCs/>
        </w:rPr>
        <w:t xml:space="preserve">(Otto et al., 2021 [5])</w:t>
      </w:r>
      <w:r>
        <w:t xml:space="preserve">. Ancak Mart</w:t>
      </w:r>
      <w:r>
        <w:t xml:space="preserve"> </w:t>
      </w:r>
      <w:r>
        <w:t xml:space="preserve">ayında yaşanan INR 8.46 atağı ve Temmuz ayındaki 1.17 dip noktası, TTR oranının %54.6’da kalmasına yol açmıştır</w:t>
      </w:r>
      <w: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 </w:t>
      </w:r>
      <w:r>
        <w:rPr>
          <w:i/>
          <w:iCs/>
        </w:rPr>
        <w:t xml:space="preserve">Connolly et al., 2008 [25])</w:t>
      </w:r>
      <w:r>
        <w:t xml:space="preserve">. Hastanın aynı zamanda 81 mg aspirin kullanması koroner buton anastomozlarını korumakta,</w:t>
      </w:r>
      <w:r>
        <w:t xml:space="preserve"> </w:t>
      </w:r>
      <w:r>
        <w:t xml:space="preserve">fakat gastroduodenal mukoza hasarını tetiklemektedir</w:t>
      </w:r>
      <w:r>
        <w:t xml:space="preserve"> </w:t>
      </w:r>
      <w:r>
        <w:rPr>
          <w:i/>
          <w:iCs/>
        </w:rPr>
        <w:t xml:space="preserve">(Dentali et al., 2006 [27])</w:t>
      </w:r>
      <w:r>
        <w:t xml:space="preserve">. 4 Eylül’de başlanan</w:t>
      </w:r>
      <w:r>
        <w:t xml:space="preserve"> </w:t>
      </w:r>
      <w:r>
        <w:t xml:space="preserve">amoksisilin/klavulanat (Klamoks 1000 mg), bağırsak florasında K vitamini üreten bakterileri azaltarak serbest warfarin</w:t>
      </w:r>
      <w:r>
        <w:t xml:space="preserve"> </w:t>
      </w:r>
      <w:r>
        <w:t xml:space="preserve">fraksiyonunu yükseltme riski taşır</w:t>
      </w:r>
      <w:r>
        <w:t xml:space="preserve"> </w:t>
      </w:r>
      <w:r>
        <w:rPr>
          <w:i/>
          <w:iCs/>
        </w:rPr>
        <w:t xml:space="preserve">(Ageno et al., 2012 [7])</w:t>
      </w:r>
      <w:r>
        <w:t xml:space="preserve">. 10 Eylül kür bitiminden sonraki 48 saat içinde kontrol</w:t>
      </w:r>
      <w:r>
        <w:t xml:space="preserve"> </w:t>
      </w:r>
      <w:r>
        <w:t xml:space="preserve">INR zorunludur.</w:t>
      </w:r>
    </w:p>
    <w:bookmarkEnd w:id="12"/>
    <w:bookmarkStart w:id="13" w:name="Xb1183a78769a41a6e934e7009515c548dd54fb8"/>
    <w:p>
      <w:pPr>
        <w:pStyle w:val="Heading3"/>
      </w:pPr>
      <w:r>
        <w:t xml:space="preserve">2.3. Hematolojik Tablo: Mutlak Demir Eksikliği Anemisi</w:t>
      </w:r>
    </w:p>
    <w:p>
      <w:pPr>
        <w:pStyle w:val="FirstParagraph"/>
      </w:pPr>
      <w:r>
        <w:t xml:space="preserve">Hemoglobinin 9.7 g/dL, MCV’nin 76.4 fL (mikrositoz) ve ferritin düzeyinin 19 µg/L olması, ameliyat sırasındaki</w:t>
      </w:r>
      <w:r>
        <w:t xml:space="preserve"> </w:t>
      </w:r>
      <w:r>
        <w:t xml:space="preserve">hemodilüsyon, Temmuz revizyonundaki kan kaybı (Hb: 7.7 g/dL dip noktası) ve çift antitrombotik tedaviye bağlı olası</w:t>
      </w:r>
      <w:r>
        <w:t xml:space="preserve"> </w:t>
      </w:r>
      <w:r>
        <w:t xml:space="preserve">gizli kan kayıpları ile izah edilir</w:t>
      </w:r>
      <w:r>
        <w:t xml:space="preserve"> </w:t>
      </w:r>
      <w:r>
        <w:rPr>
          <w:i/>
          <w:iCs/>
        </w:rPr>
        <w:t xml:space="preserve">(Camaschella, 2015 [35]; Goddard et al., 2021 [9])</w:t>
      </w:r>
      <w:r>
        <w:t xml:space="preserve">. Anemi, doku hipoksisine yol</w:t>
      </w:r>
      <w:r>
        <w:t xml:space="preserve"> </w:t>
      </w:r>
      <w:r>
        <w:t xml:space="preserve">açarak kompansatuar debi artışı yaratmakta ve rezidüel aort flebini zorlamaktadır</w:t>
      </w:r>
      <w:r>
        <w:t xml:space="preserve"> </w:t>
      </w:r>
      <w:r>
        <w:rPr>
          <w:i/>
          <w:iCs/>
        </w:rPr>
        <w:t xml:space="preserve">(McDonagh et al., 2021 [37])</w:t>
      </w:r>
      <w:r>
        <w:t xml:space="preserve">. Oral</w:t>
      </w:r>
      <w:r>
        <w:t xml:space="preserve"> </w:t>
      </w:r>
      <w:r>
        <w:t xml:space="preserve">demir takviyeleri pantoprazolün (Panto) mide asidini nötralize etmesi nedeniyle emilemeyeceğinden,</w:t>
      </w:r>
      <w:r>
        <w:t xml:space="preserve"> </w:t>
      </w:r>
      <w:r>
        <w:rPr>
          <w:b/>
          <w:bCs/>
        </w:rPr>
        <w:t xml:space="preserve">İntravenöz Ferrik</w:t>
      </w:r>
      <w:r>
        <w:rPr>
          <w:b/>
          <w:bCs/>
        </w:rPr>
        <w:t xml:space="preserve"> </w:t>
      </w:r>
      <w:r>
        <w:rPr>
          <w:b/>
          <w:bCs/>
        </w:rPr>
        <w:t xml:space="preserve">Karboksimaltoz (Ferinject 1000 mg)</w:t>
      </w:r>
      <w:r>
        <w:t xml:space="preserve"> </w:t>
      </w:r>
      <w:r>
        <w:t xml:space="preserve">replasmanı mutlak endikedir</w:t>
      </w:r>
      <w:r>
        <w:t xml:space="preserve"> </w:t>
      </w:r>
      <w:r>
        <w:rPr>
          <w:i/>
          <w:iCs/>
        </w:rPr>
        <w:t xml:space="preserve">(Richards et al., 2021 [40])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89a02601a9cbcccc2b2526abc30ecea373a6b98"/>
    <w:p>
      <w:pPr>
        <w:pStyle w:val="Heading2"/>
      </w:pPr>
      <w:r>
        <w:t xml:space="preserve">3. TÜMLEŞİK LABORATUVAR DEĞİŞİM MASTER TABLOSU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100"/>
        <w:gridCol w:w="1100"/>
        <w:gridCol w:w="1100"/>
        <w:gridCol w:w="1100"/>
        <w:gridCol w:w="1100"/>
        <w:gridCol w:w="110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Biyobelirteç / Kod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Referans Aralığı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İlk Değer (19 Şub)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Zirve / Dip Noktası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Son Değer (08 Eyl)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Yüzdesel Delta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Kılavuz Dayanağı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Hemoglobin (HGB)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13.5 – 17.5 g/dL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7.7 (Dip - 27 Tem)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DÜŞÜK</w:t>
            </w:r>
          </w:p>
        </w:tc>
        <w:tc>
          <w:tcPr/>
          <w:p>
            <w:pPr>
              <w:pStyle w:val="Compact"/>
            </w:pPr>
            <w:r>
              <w:t xml:space="preserve">BSG 2021 [9]; WHO [100]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Hematokrit (HCT)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%40.0 – 52.0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25.0 (Dip - 22 Şub)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29.7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-%28.3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DÜŞÜK</w:t>
            </w:r>
          </w:p>
        </w:tc>
        <w:tc>
          <w:tcPr/>
          <w:p>
            <w:pPr>
              <w:pStyle w:val="Compact"/>
            </w:pPr>
            <w:r>
              <w:t xml:space="preserve">Goddard et al., 2021 [9]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Eritrosit Hacmi (MCV)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80.0 – 100.0 fL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76.4 (Dip - 08 Eyl)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76.4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-%13.2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DÜŞÜK</w:t>
            </w:r>
          </w:p>
        </w:tc>
        <w:tc>
          <w:tcPr/>
          <w:p>
            <w:pPr>
              <w:pStyle w:val="Compact"/>
            </w:pPr>
            <w:r>
              <w:t xml:space="preserve">Camaschella, 2015 [35]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Eritrosit Hb (MCH)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27.0 – 34.0 pg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24.5 (Dip - 02 Eyl)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24.9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-%19.2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DÜŞÜK</w:t>
            </w:r>
          </w:p>
        </w:tc>
        <w:tc>
          <w:tcPr/>
          <w:p>
            <w:pPr>
              <w:pStyle w:val="Compact"/>
            </w:pPr>
            <w:r>
              <w:t xml:space="preserve">Camaschella, 2015 [35]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Serum Ferritin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30.0 – 400.0 µg/L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19.0 (Dip)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Tükendi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DÜŞÜK</w:t>
            </w:r>
          </w:p>
        </w:tc>
        <w:tc>
          <w:tcPr/>
          <w:p>
            <w:pPr>
              <w:pStyle w:val="Compact"/>
            </w:pPr>
            <w:r>
              <w:t xml:space="preserve">ESC HF 2021 [37]; BSG [9]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Serum Demiri (Fe)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59.0 – 158.0 µg/dL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 (Dip)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Kritik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DÜŞÜK</w:t>
            </w:r>
          </w:p>
        </w:tc>
        <w:tc>
          <w:tcPr/>
          <w:p>
            <w:pPr>
              <w:pStyle w:val="Compact"/>
            </w:pPr>
            <w:r>
              <w:t xml:space="preserve">Snook et al., 2021 [10]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C-Reaktif Protein (CRP)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 – 5.0 mg/L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154.0 (Pik - 21 Şub)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+%334.6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Horan et al., 2008 [11]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Lökosit Sayısı (WBC)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 – 11.0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9</m:t>
                  </m:r>
                </m:sup>
              </m:sSup>
            </m:oMath>
            <w:r>
              <w:t xml:space="preserve">/L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27.10 (Pik - 21 Şub)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-%24.9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Horan et al., 2008 [11]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Koagülasyon (INR)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 – 3.0 (Hedef)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8.46 (Pik - 16 Mar)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Hedefte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ARALIKTA</w:t>
            </w:r>
          </w:p>
        </w:tc>
        <w:tc>
          <w:tcPr/>
          <w:p>
            <w:pPr>
              <w:pStyle w:val="Compact"/>
            </w:pPr>
            <w:r>
              <w:t xml:space="preserve">ESC/EACTS 2021 [4]; ACC [5]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Trombosit (PLT)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150 – 403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9</m:t>
                  </m:r>
                </m:sup>
              </m:sSup>
            </m:oMath>
            <w:r>
              <w:t xml:space="preserve">/L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88.0 (Dip) / 489.0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365.0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+%123.9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Vahanian et al., 2022 [4]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Serum Kreatinin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 – 1.3 mg/dL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KDIGO 2012 [94]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eGFR (CKD-EPI)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&gt; 60 mL/dk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94.00 (Pik)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75.58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+%4.1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Inker et al., 2021 [95]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Kolesterol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140 – 200 mg/dL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210.0 (Pik - 08 Eyl)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+%17.3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Mach et al., 2020 [41]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LDL Kolesterol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55 mg/dL (Hedef)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141.0 (Pik - 08 Eyl)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141.0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+%17.8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ESC Dislipidemi [41]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HDL Kolesterol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 – 75 mg/dL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34.0 (Dip)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34.0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DÜŞÜK</w:t>
            </w:r>
          </w:p>
        </w:tc>
        <w:tc>
          <w:tcPr/>
          <w:p>
            <w:pPr>
              <w:pStyle w:val="Compact"/>
            </w:pPr>
            <w:r>
              <w:t xml:space="preserve">Grundy et al., 2019 [42]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Açlık Glukozu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 – 110 mg/dL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146.0 (Postop)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+%25.9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ADA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HbA1c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%4.8 – 5.9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Stabil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ADA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 – 4.20 mIU/L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0.279 (Dip)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0.279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-%67.5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ETA 2023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4cc7fe84c75deac3555663e7e0e69db12100b82"/>
    <w:p>
      <w:pPr>
        <w:pStyle w:val="Heading2"/>
      </w:pPr>
      <w:r>
        <w:t xml:space="preserve">4. GÜNCEL FARMAKOTERAPİ VE RİSK YÖNETİM MATRİSİ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Warfmadin (Varfarin Sodyum) 5 mg Tablet:</w:t>
      </w:r>
      <w:r>
        <w:t xml:space="preserve"> </w:t>
      </w:r>
      <w:r>
        <w:t xml:space="preserve">Haftalık toplam 20 mg (Günlük doz ayarlamalı). Mekanik aort kapak</w:t>
      </w:r>
      <w:r>
        <w:t xml:space="preserve"> </w:t>
      </w:r>
      <w:r>
        <w:t xml:space="preserve">tromboemboli profilaksisi</w:t>
      </w:r>
      <w:r>
        <w:t xml:space="preserve"> </w:t>
      </w:r>
      <w:r>
        <w:rPr>
          <w:i/>
          <w:iCs/>
        </w:rPr>
        <w:t xml:space="preserve">(Vahanian et al., 2022 [4])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Dilatrend (Karvedilol) 6.25 mg Tablet:</w:t>
      </w:r>
      <w:r>
        <w:t xml:space="preserve"> </w:t>
      </w:r>
      <w:r>
        <w:t xml:space="preserve">Günde 2 kez 1 tablet (12.5 mg/gün). Aortik</w:t>
      </w:r>
      <w:r>
        <w:t xml:space="preserve"> </w:t>
      </w:r>
      <m:oMath>
        <m:r>
          <m:t>d</m:t>
        </m:r>
        <m:r>
          <m:t>P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t xml:space="preserve">kesme stresini ve</w:t>
      </w:r>
      <w:r>
        <w:t xml:space="preserve"> </w:t>
      </w:r>
      <w:r>
        <w:t xml:space="preserve">taşikardiyi önleme</w:t>
      </w:r>
      <w:r>
        <w:t xml:space="preserve"> </w:t>
      </w:r>
      <w:r>
        <w:rPr>
          <w:i/>
          <w:iCs/>
        </w:rPr>
        <w:t xml:space="preserve">(Isselbacher et al., 2022 [2])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Coversyl (Perindopril Arjinin) 5 mg Tablet:</w:t>
      </w:r>
      <w:r>
        <w:t xml:space="preserve"> </w:t>
      </w:r>
      <w:r>
        <w:t xml:space="preserve">Günde 1 kez 1 tablet. Sistemik vasküler rezistans kontrolü ve aortik</w:t>
      </w:r>
      <w:r>
        <w:t xml:space="preserve"> </w:t>
      </w:r>
      <w:r>
        <w:t xml:space="preserve">remodelingi önleme</w:t>
      </w:r>
      <w:r>
        <w:t xml:space="preserve"> </w:t>
      </w:r>
      <w:r>
        <w:rPr>
          <w:i/>
          <w:iCs/>
        </w:rPr>
        <w:t xml:space="preserve">(Mancia et al., 2023 [1])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EcopirinPro (Asetilsalisilik Asit) 81 mg Tablet:</w:t>
      </w:r>
      <w:r>
        <w:t xml:space="preserve"> </w:t>
      </w:r>
      <w:r>
        <w:t xml:space="preserve">Günde 1 kez 1 tablet. Koroner buton ve Dacron greft tromboz</w:t>
      </w:r>
      <w:r>
        <w:t xml:space="preserve"> </w:t>
      </w:r>
      <w:r>
        <w:t xml:space="preserve">profilaksisi</w:t>
      </w:r>
      <w:r>
        <w:t xml:space="preserve"> </w:t>
      </w:r>
      <w:r>
        <w:rPr>
          <w:i/>
          <w:iCs/>
        </w:rPr>
        <w:t xml:space="preserve">(Whitlock et al., 2023 [28])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Panto (Pantoprazol) 40 mg Enterik Tablet:</w:t>
      </w:r>
      <w:r>
        <w:t xml:space="preserve"> </w:t>
      </w:r>
      <w:r>
        <w:t xml:space="preserve">Günde 1 kez sabah aç karnına. Çift antitrombotik kaynaklı GİS kanama</w:t>
      </w:r>
      <w:r>
        <w:t xml:space="preserve"> </w:t>
      </w:r>
      <w:r>
        <w:t xml:space="preserve">profilaksisi</w:t>
      </w:r>
      <w:r>
        <w:t xml:space="preserve"> </w:t>
      </w:r>
      <w:r>
        <w:rPr>
          <w:i/>
          <w:iCs/>
        </w:rPr>
        <w:t xml:space="preserve">(Bhatt et al., 2010 [29])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Klamoks BID (Amoksisilin + Klavulanik Asit) 1000 mg Tablet:</w:t>
      </w:r>
      <w:r>
        <w:t xml:space="preserve"> </w:t>
      </w:r>
      <w:r>
        <w:t xml:space="preserve">Günde 2 kez 1 tablet (4–10 Eylül ampirik kür sonu).</w:t>
      </w:r>
      <w:r>
        <w:t xml:space="preserve"> </w:t>
      </w:r>
      <w:r>
        <w:t xml:space="preserve">Yara yeri ve CRP kontrolü</w:t>
      </w:r>
      <w:r>
        <w:t xml:space="preserve"> </w:t>
      </w:r>
      <w:r>
        <w:rPr>
          <w:i/>
          <w:iCs/>
        </w:rPr>
        <w:t xml:space="preserve">(Wilson et al., 2016 [12])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Kapril (Kaptopril) 25 mg Tablet (Gerektiğinde - PRN):</w:t>
      </w:r>
      <w:r>
        <w:t xml:space="preserve"> </w:t>
      </w:r>
      <w:r>
        <w:t xml:space="preserve">Sistolik TA</w:t>
      </w:r>
      <w:r>
        <w:t xml:space="preserve"> </w:t>
      </w:r>
      <m:oMath>
        <m:r>
          <m:rPr>
            <m:sty m:val="p"/>
          </m:rPr>
          <m:t>≥</m:t>
        </m:r>
        <m:r>
          <m:t>150</m:t>
        </m:r>
      </m:oMath>
      <w:r>
        <w:t xml:space="preserve"> </w:t>
      </w:r>
      <w:r>
        <w:t xml:space="preserve">mmHg acil dilaltı kurtarma ilacı</w:t>
      </w:r>
      <w: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 </w:t>
      </w:r>
      <w:r>
        <w:rPr>
          <w:i/>
          <w:iCs/>
        </w:rPr>
        <w:t xml:space="preserve">Mancia et al., 2023 [1])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X8a69706402d5cac25c9d101257d2757ea156d36"/>
    <w:p>
      <w:pPr>
        <w:pStyle w:val="Heading2"/>
      </w:pPr>
      <w:r>
        <w:t xml:space="preserve">5. BRANŞ BAZLI ÇOK DİSİPLİNLİ STRATEJİK EYLEM PLANI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Hematoloji &amp; Dahiliye:</w:t>
      </w:r>
      <w:r>
        <w:t xml:space="preserve"> </w:t>
      </w:r>
      <w:r>
        <w:t xml:space="preserve">Ağır demir eksikliği anemisine (HGB 9.7 g/dL, Ferritin 19 µg/L) yönelik</w:t>
      </w:r>
      <w:r>
        <w:t xml:space="preserve"> </w:t>
      </w:r>
      <w:r>
        <w:rPr>
          <w:b/>
          <w:bCs/>
        </w:rPr>
        <w:t xml:space="preserve">İntravenöz</w:t>
      </w:r>
      <w:r>
        <w:rPr>
          <w:b/>
          <w:bCs/>
        </w:rPr>
        <w:t xml:space="preserve"> </w:t>
      </w:r>
      <w:r>
        <w:rPr>
          <w:b/>
          <w:bCs/>
        </w:rPr>
        <w:t xml:space="preserve">Ferrik Karboksimaltoz (Ferinject 1000 mg)</w:t>
      </w:r>
      <w:r>
        <w:t xml:space="preserve"> </w:t>
      </w:r>
      <w:r>
        <w:t xml:space="preserve">infüzyonu uygulanmalı; eşzamanlı Gaitada Gizli Kan (GGK) testi</w:t>
      </w:r>
      <w:r>
        <w:t xml:space="preserve"> </w:t>
      </w:r>
      <w:r>
        <w:t xml:space="preserve">istenmelidir</w:t>
      </w:r>
      <w:r>
        <w:t xml:space="preserve"> </w:t>
      </w:r>
      <w:r>
        <w:rPr>
          <w:i/>
          <w:iCs/>
        </w:rPr>
        <w:t xml:space="preserve">(Goddard et al., 2021 [9]; Richards et al., 2021 [40])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Kardiyoloji &amp; Hemostaz:</w:t>
      </w:r>
      <w:r>
        <w:t xml:space="preserve"> </w:t>
      </w:r>
      <w:r>
        <w:t xml:space="preserve">Klamoks tedavisinin 10 Eylül’de tamamlanmasının ardından 48–72 saat içinde (12–13 Eylül)</w:t>
      </w:r>
      <w:r>
        <w:t xml:space="preserve"> </w:t>
      </w:r>
      <w:r>
        <w:t xml:space="preserve">kontrol INR bakılmalı; antibiyotik çekilmesine bağlı dalgalanma titre edilmelidir</w:t>
      </w:r>
      <w:r>
        <w:t xml:space="preserve"> </w:t>
      </w:r>
      <w:r>
        <w:rPr>
          <w:i/>
          <w:iCs/>
        </w:rPr>
        <w:t xml:space="preserve">(Ageno et al., 2012 [7])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Enfeksiyon Hastalıkları &amp; KVC:</w:t>
      </w:r>
      <w:r>
        <w:t xml:space="preserve"> </w:t>
      </w:r>
      <w:r>
        <w:t xml:space="preserve">12–13 Eylül’de kontrol CRP ve lökosit bakılmalı; persistan ateş veya üfürüm</w:t>
      </w:r>
      <w:r>
        <w:t xml:space="preserve"> </w:t>
      </w:r>
      <w:r>
        <w:t xml:space="preserve">halinde 3 set kan kültürü ve Transözofageal Ekokardiyografi (TEE) ile protez kapak endokarditi taranmalıdır</w:t>
      </w:r>
      <w:r>
        <w:t xml:space="preserve"> </w:t>
      </w:r>
      <w:r>
        <w:rPr>
          <w:i/>
          <w:iCs/>
        </w:rPr>
        <w:t xml:space="preserve">(Habib</w:t>
      </w:r>
      <w:r>
        <w:rPr>
          <w:i/>
          <w:iCs/>
        </w:rPr>
        <w:t xml:space="preserve"> </w:t>
      </w:r>
      <w:r>
        <w:rPr>
          <w:i/>
          <w:iCs/>
        </w:rPr>
        <w:t xml:space="preserve">et al., 2023 [34])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Kardiyovasküler Cerrahi &amp; Radyoloji:</w:t>
      </w:r>
      <w:r>
        <w:t xml:space="preserve"> </w:t>
      </w:r>
      <w:r>
        <w:t xml:space="preserve">5 Mayıs BT’sinden bu yana 4.2 ay geçmiştir. Ameliyat sonrası 6. ayı</w:t>
      </w:r>
      <w:r>
        <w:t xml:space="preserve"> </w:t>
      </w:r>
      <w:r>
        <w:t xml:space="preserve">tamamlayan hastaya rezidüel Tip B flep ve abdominal ektazi (38 mm) takibi için</w:t>
      </w:r>
      <w:r>
        <w:t xml:space="preserve"> </w:t>
      </w:r>
      <w:r>
        <w:rPr>
          <w:b/>
          <w:bCs/>
        </w:rPr>
        <w:t xml:space="preserve">Kontrastlı Torakoabdominal BT</w:t>
      </w:r>
      <w:r>
        <w:rPr>
          <w:b/>
          <w:bCs/>
        </w:rPr>
        <w:t xml:space="preserve"> </w:t>
      </w:r>
      <w:r>
        <w:rPr>
          <w:b/>
          <w:bCs/>
        </w:rPr>
        <w:t xml:space="preserve">Anjiyografi</w:t>
      </w:r>
      <w:r>
        <w:t xml:space="preserve"> </w:t>
      </w:r>
      <w:r>
        <w:t xml:space="preserve">planlanmalıdır</w:t>
      </w:r>
      <w:r>
        <w:t xml:space="preserve"> </w:t>
      </w:r>
      <w:r>
        <w:rPr>
          <w:i/>
          <w:iCs/>
        </w:rPr>
        <w:t xml:space="preserve">(Fleischmann et al., 2022 [14])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Kardiyoloji / Önleyici Tedavi:</w:t>
      </w:r>
      <w:r>
        <w:t xml:space="preserve"> </w:t>
      </w:r>
      <w:r>
        <w:t xml:space="preserve">LDL-K 141 mg/dL seviyesi nedeniyle çok yüksek kardiyovasküler risk grubundaki</w:t>
      </w:r>
      <w:r>
        <w:t xml:space="preserve"> </w:t>
      </w:r>
      <w:r>
        <w:t xml:space="preserve">hastaya hedef LDL</w:t>
      </w:r>
      <w:r>
        <w:t xml:space="preserve"> </w:t>
      </w:r>
      <m:oMath>
        <m:r>
          <m:rPr>
            <m:sty m:val="p"/>
          </m:rPr>
          <m:t>&lt;</m:t>
        </m:r>
        <m:r>
          <m:t>55</m:t>
        </m:r>
      </m:oMath>
      <w:r>
        <w:t xml:space="preserve"> </w:t>
      </w:r>
      <w:r>
        <w:t xml:space="preserve">mg/dL amacıyla</w:t>
      </w:r>
      <w:r>
        <w:t xml:space="preserve"> </w:t>
      </w:r>
      <w:r>
        <w:rPr>
          <w:b/>
          <w:bCs/>
        </w:rPr>
        <w:t xml:space="preserve">Atorvastatin 20 mg/gün</w:t>
      </w:r>
      <w:r>
        <w:t xml:space="preserve"> </w:t>
      </w:r>
      <w:r>
        <w:t xml:space="preserve">başlanması değerlendirilmelidir</w:t>
      </w:r>
      <w:r>
        <w:t xml:space="preserve"> </w:t>
      </w:r>
      <w:r>
        <w:rPr>
          <w:i/>
          <w:iCs/>
        </w:rPr>
        <w:t xml:space="preserve">(Mach et al.,</w:t>
      </w:r>
      <w:r>
        <w:rPr>
          <w:i/>
          <w:iCs/>
        </w:rPr>
        <w:t xml:space="preserve"> </w:t>
      </w:r>
      <w:r>
        <w:rPr>
          <w:i/>
          <w:iCs/>
        </w:rPr>
        <w:t xml:space="preserve">2020 [41])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X396ffa869b3f289226706830bc0a1a683faf619"/>
    <w:p>
      <w:pPr>
        <w:pStyle w:val="Heading2"/>
      </w:pPr>
      <w:r>
        <w:t xml:space="preserve">6. AKADEMİK VE KLİNİK KAYNAKÇA (APA 7TH EDITION)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Mancia, G., Kreutz, R., Brunström, M., et al. (2023).</w:t>
      </w:r>
      <w:r>
        <w:t xml:space="preserve"> </w:t>
      </w:r>
      <w:r>
        <w:t xml:space="preserve">2023 ESH Guidelines for the management of arterial hypertension.</w:t>
      </w:r>
      <w:r>
        <w:t xml:space="preserve"> </w:t>
      </w:r>
      <w:r>
        <w:rPr>
          <w:i/>
          <w:iCs/>
        </w:rPr>
        <w:t xml:space="preserve">Journal of Hypertension</w:t>
      </w:r>
      <w:r>
        <w:t xml:space="preserve">, 41(12), 1874–2071.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Isselbacher, E. M., Preventza, O., Hamilton Black, J., et al. (2022).</w:t>
      </w:r>
      <w:r>
        <w:t xml:space="preserve"> </w:t>
      </w:r>
      <w:r>
        <w:t xml:space="preserve">2022 ACC/AHA Guideline for the Diagnosis and Management of Aortic Disease.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, 146(24), e334–e482.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Evangelista, A., Czerny, M., Teixido-Tura, G., et al. (2024).</w:t>
      </w:r>
      <w:r>
        <w:t xml:space="preserve"> </w:t>
      </w:r>
      <w:r>
        <w:t xml:space="preserve">Imaging follow-up in chronic aortic syndromes.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 45(10), 812–828.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Vahanian, A., Beyersdorf, F., Praz, F., et al. (2022).</w:t>
      </w:r>
      <w:r>
        <w:t xml:space="preserve"> </w:t>
      </w:r>
      <w:r>
        <w:t xml:space="preserve">2021 ESC/EACTS Guidelines for the management of valvular heart disease.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 43(7), 561–632.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Otto, C. M., Nishimura, R. A., Bonow, R. O., et al. (2021).</w:t>
      </w:r>
      <w:r>
        <w:t xml:space="preserve"> </w:t>
      </w:r>
      <w:r>
        <w:t xml:space="preserve">2020 ACC/AHA Guideline for the Management of Patients With Valvular Heart Disease.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, 143(5), e72–e227.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Delgado, V., Ajmone Marsan, N., de Waha, S., et al. (2023).</w:t>
      </w:r>
      <w:r>
        <w:t xml:space="preserve"> </w:t>
      </w:r>
      <w:r>
        <w:t xml:space="preserve">2023 ESC Guidelines for the management of endocarditis.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 44(39), 3948–4042.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Czerny, M., Grabenwöger, M., Berger, T., et al. (2024).</w:t>
      </w:r>
      <w:r>
        <w:t xml:space="preserve"> </w:t>
      </w:r>
      <w:r>
        <w:t xml:space="preserve">EACTS/STS Guidelines for diagnosing and treating acute and chronic syndromes of the aortic organ.</w:t>
      </w:r>
      <w:r>
        <w:t xml:space="preserve"> </w:t>
      </w:r>
      <w:r>
        <w:rPr>
          <w:i/>
          <w:iCs/>
        </w:rPr>
        <w:t xml:space="preserve">European Journal of Cardio-Thoracic Surgery</w:t>
      </w:r>
      <w:r>
        <w:t xml:space="preserve">, 65(2), ezad426.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Goddard, A. F., James, M. W., McIntyre, A. S., &amp; Scott, B. B. (2021).</w:t>
      </w:r>
      <w:r>
        <w:t xml:space="preserve"> </w:t>
      </w:r>
      <w:r>
        <w:t xml:space="preserve">British Society of Gastroenterology guidelines for the management of iron deficiency anaemia in adults.</w:t>
      </w:r>
      <w:r>
        <w:t xml:space="preserve"> </w:t>
      </w:r>
      <w:r>
        <w:rPr>
          <w:i/>
          <w:iCs/>
        </w:rPr>
        <w:t xml:space="preserve">Gut</w:t>
      </w:r>
      <w:r>
        <w:t xml:space="preserve">, 70(11), 2030–2051.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McDonagh, T. A., Metra, M., Adamo, M., et al. (2021).</w:t>
      </w:r>
      <w:r>
        <w:t xml:space="preserve"> </w:t>
      </w:r>
      <w:r>
        <w:t xml:space="preserve">2021 ESC Guidelines for the diagnosis and treatment of acute and chronic heart failure.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 42(36), 3599–3726.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Camaschella, C. (2015).</w:t>
      </w:r>
      <w:r>
        <w:t xml:space="preserve"> </w:t>
      </w:r>
      <w:r>
        <w:t xml:space="preserve">Iron-deficiency anemia.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, 372(19), 1832–1843.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Mach, F., Baigent, C., Catapano, A. L., et al. (2020).</w:t>
      </w:r>
      <w:r>
        <w:t xml:space="preserve"> </w:t>
      </w:r>
      <w:r>
        <w:t xml:space="preserve">2019 ESC/EAS Guidelines for the management of dyslipidaemias.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 41(1), 111–188.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KDIGO. (2012).</w:t>
      </w:r>
      <w:r>
        <w:t xml:space="preserve"> </w:t>
      </w:r>
      <w:r>
        <w:t xml:space="preserve">Clinical Practice Guideline for the Evaluation and Management of Chronic Kidney Disease.</w:t>
      </w:r>
      <w:r>
        <w:t xml:space="preserve"> </w:t>
      </w:r>
      <w:r>
        <w:rPr>
          <w:i/>
          <w:iCs/>
        </w:rPr>
        <w:t xml:space="preserve">Kidney International Supplements</w:t>
      </w:r>
      <w:r>
        <w:t xml:space="preserve">, 2(1), 1–150.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World Health Organization. (2011).</w:t>
      </w:r>
      <w:r>
        <w:t xml:space="preserve"> </w:t>
      </w:r>
      <w:r>
        <w:t xml:space="preserve">Haemoglobin concentrations for the diagnosis of anaemia and assessment of severity. WHO/NMH/NHD/MNM/11.1.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2026-09-10T09:17:12Z</dcterms:created>
  <dcterms:modified xsi:type="dcterms:W3CDTF">2026-09-10T09:17:12Z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