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120"/>
        <w:jc w:val="left"/>
      </w:pPr>
      <w:r>
        <w:rPr>
          <w:b/>
          <w:sz w:val="32"/>
          <w:color w:val="2E74B5"/>
        </w:rPr>
        <w:t>Product-only / Transaction-first Notes</w:t>
      </w:r>
    </w:p>
    <w:p>
      <w:pPr>
        <w:spacing w:after="180"/>
      </w:pPr>
      <w:r>
        <w:rPr>
          <w:sz w:val="22"/>
          <w:color w:val="555555"/>
        </w:rPr>
        <w:t>2026-08-02 | Admin canonical merge note</w:t>
      </w:r>
    </w:p>
    <w:p>
      <w:pPr>
        <w:spacing w:before="200" w:after="80"/>
      </w:pPr>
      <w:r>
        <w:rPr>
          <w:b/>
          <w:sz w:val="26"/>
          <w:color w:val="2E74B5"/>
        </w:rPr>
        <w:t>Decision</w:t>
      </w:r>
    </w:p>
    <w:p>
      <w:pPr>
        <w:spacing w:after="120"/>
        <w:line w:val="300" w:lineRule="auto"/>
      </w:pPr>
      <w:r>
        <w:rPr>
          <w:sz w:val="22"/>
        </w:rPr>
        <w:t>Admin follows the MBN product-only marketplace model. Product is the sell/rent asset owner; Transaction is the operational workflow owner. The standalone admin Contract module has been removed from the UI surface.</w:t>
      </w:r>
    </w:p>
    <w:p>
      <w:pPr>
        <w:spacing w:before="200" w:after="80"/>
      </w:pPr>
      <w:r>
        <w:rPr>
          <w:b/>
          <w:sz w:val="26"/>
          <w:color w:val="2E74B5"/>
        </w:rPr>
        <w:t>Admin Surface</w:t>
      </w:r>
    </w:p>
    <w:p>
      <w:pPr>
        <w:spacing w:after="120"/>
        <w:line w:val="300" w:lineRule="auto"/>
      </w:pPr>
      <w:r>
        <w:rPr>
          <w:sz w:val="22"/>
        </w:rPr>
        <w:t>Product management owns offer modes, approval, publish state and sale/rental pricing. Transaction detail owns payment, handover, return, dispute and generated-document visibility. Document Templates and Generated Documents replace standalone Contract CRUD.</w:t>
      </w:r>
    </w:p>
    <w:p>
      <w:pPr>
        <w:spacing w:before="200" w:after="80"/>
      </w:pPr>
      <w:r>
        <w:rPr>
          <w:b/>
          <w:sz w:val="26"/>
          <w:color w:val="2E74B5"/>
        </w:rPr>
        <w:t>Removed / Deprecated</w:t>
      </w:r>
    </w:p>
    <w:p>
      <w:pPr>
        <w:spacing w:after="120"/>
        <w:line w:val="300" w:lineRule="auto"/>
      </w:pPr>
      <w:r>
        <w:rPr>
          <w:sz w:val="22"/>
        </w:rPr>
        <w:t>/contracts admin route, menu item and route constants; src/modules/contracts pages and service; dashboard contract count as an independent KPI; checks that required a contract list/form module.</w:t>
      </w:r>
    </w:p>
    <w:p>
      <w:pPr>
        <w:spacing w:before="200" w:after="80"/>
      </w:pPr>
      <w:r>
        <w:rPr>
          <w:b/>
          <w:sz w:val="26"/>
          <w:color w:val="2E74B5"/>
        </w:rPr>
        <w:t>Merge Notes</w:t>
      </w:r>
    </w:p>
    <w:p>
      <w:pPr>
        <w:spacing w:after="120"/>
        <w:line w:val="300" w:lineRule="auto"/>
      </w:pPr>
      <w:r>
        <w:rPr>
          <w:sz w:val="22"/>
        </w:rPr>
        <w:t>Do not restore Contract as a top-level admin module for MBN. If a legal artifact is needed, expose it through generated transaction documents. Keep parent base UI components and route metadata checks aligned with the product-only surface.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</w:styles>
</file>

<file path=word/_rels/document.xml.rels><?xml version="1.0" encoding="UTF-8" standalone="yes"?>
<Relationships xmlns="http://schemas.openxmlformats.org/package/2006/relationships"/>
</file>