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AXIRO Base Admin - Transaction Document and Dispute Closure Notes</w:t>
      </w:r>
    </w:p>
    <w:p>
      <w:pPr/>
      <w:r>
        <w:t xml:space="preserve">Updated: 2026-08-02</w:t>
      </w:r>
    </w:p>
    <w:p>
      <w:pPr/>
      <w:r>
        <w:t xml:space="preserve">Consolidated note after checking current Mini changes against the AXIRO parent direction.</w:t>
      </w:r>
    </w:p>
    <w:p>
      <w:pPr>
        <w:pStyle w:val="Heading1"/>
      </w:pPr>
      <w:r>
        <w:t xml:space="preserve">Scope Decision</w:t>
      </w:r>
    </w:p>
    <w:p>
      <w:pPr>
        <w:pStyle w:val="ListParagraph"/>
        <w:ind w:left="720" w:hanging="360"/>
      </w:pPr>
      <w:r>
        <w:t xml:space="preserve">- Target model: one admin operator serving many customers.</w:t>
      </w:r>
    </w:p>
    <w:p>
      <w:pPr>
        <w:pStyle w:val="ListParagraph"/>
        <w:ind w:left="720" w:hanging="360"/>
      </w:pPr>
      <w:r>
        <w:t xml:space="preserve">- Transaction remains the lifecycle owner for checkout, payment, handover, dispute, refund and evidence.</w:t>
      </w:r>
    </w:p>
    <w:p>
      <w:pPr>
        <w:pStyle w:val="ListParagraph"/>
        <w:ind w:left="720" w:hanging="360"/>
      </w:pPr>
      <w:r>
        <w:t xml:space="preserve">- Documents are transaction records/evidence, not a standalone Contract business module.</w:t>
      </w:r>
    </w:p>
    <w:p>
      <w:pPr>
        <w:pStyle w:val="ListParagraph"/>
        <w:ind w:left="720" w:hanging="360"/>
      </w:pPr>
      <w:r>
        <w:t xml:space="preserve">- Excluded: RBAC, company/project/team scope, fraud engine, SLA engine, approval center, accounting sync and BI runtime.</w:t>
      </w:r>
    </w:p>
    <w:p>
      <w:pPr>
        <w:pStyle w:val="Heading1"/>
      </w:pPr>
      <w:r>
        <w:t xml:space="preserve">Parent AXIRO Reference</w:t>
      </w:r>
    </w:p>
    <w:p>
      <w:pPr>
        <w:pStyle w:val="ListParagraph"/>
        <w:ind w:left="720" w:hanging="360"/>
      </w:pPr>
      <w:r>
        <w:t xml:space="preserve">- Use FormRequest as the mutation boundary, following GenerateDocumentRequest and DocumentTemplateRequest in the parent API.</w:t>
      </w:r>
    </w:p>
    <w:p>
      <w:pPr>
        <w:pStyle w:val="ListParagraph"/>
        <w:ind w:left="720" w:hanging="360"/>
      </w:pPr>
      <w:r>
        <w:t xml:space="preserve">- Keep document type/status as finite values with a clear owner; Mini uses DocumentType for canonical keys and legacy aliases.</w:t>
      </w:r>
    </w:p>
    <w:p>
      <w:pPr>
        <w:pStyle w:val="ListParagraph"/>
        <w:ind w:left="720" w:hanging="360"/>
      </w:pPr>
      <w:r>
        <w:t xml:space="preserve">- Keep transaction status as lifecycle action output, not a raw admin-editable field.</w:t>
      </w:r>
    </w:p>
    <w:p>
      <w:pPr>
        <w:pStyle w:val="ListParagraph"/>
        <w:ind w:left="720" w:hanging="360"/>
      </w:pPr>
      <w:r>
        <w:t xml:space="preserve">- Use explicit option/label patterns for document operations; avoid raw ID/key entry in admin workflows.</w:t>
      </w:r>
    </w:p>
    <w:p>
      <w:pPr>
        <w:pStyle w:val="ListParagraph"/>
        <w:ind w:left="720" w:hanging="360"/>
      </w:pPr>
      <w:r>
        <w:t xml:space="preserve">- Do not port parent document compliance, approval center or system operations because they exceed the Mini scope.</w:t>
      </w:r>
    </w:p>
    <w:p>
      <w:pPr>
        <w:pStyle w:val="Heading1"/>
      </w:pPr>
      <w:r>
        <w:t xml:space="preserve">Implemented Cleanup</w:t>
      </w:r>
    </w:p>
    <w:p>
      <w:pPr>
        <w:pStyle w:val="ListParagraph"/>
        <w:ind w:left="720" w:hanging="360"/>
      </w:pPr>
      <w:r>
        <w:t xml:space="preserve">- Canonical document keys are sale_record and rental_record; legacy sale_contract/rental_contract remain readable through aliases.</w:t>
      </w:r>
    </w:p>
    <w:p>
      <w:pPr>
        <w:pStyle w:val="ListParagraph"/>
        <w:ind w:left="720" w:hanging="360"/>
      </w:pPr>
      <w:r>
        <w:t xml:space="preserve">- Dispute resolution now requires explicit outcome: complete, cancel_refund, cancel_no_refund or reopen.</w:t>
      </w:r>
    </w:p>
    <w:p>
      <w:pPr>
        <w:pStyle w:val="ListParagraph"/>
        <w:ind w:left="720" w:hanging="360"/>
      </w:pPr>
      <w:r>
        <w:t xml:space="preserve">- Admin dispute modal asks for a resolution statement and a clear accepted outcome.</w:t>
      </w:r>
    </w:p>
    <w:p>
      <w:pPr>
        <w:pStyle w:val="ListParagraph"/>
        <w:ind w:left="720" w:hanging="360"/>
      </w:pPr>
      <w:r>
        <w:t xml:space="preserve">- Customer/Admin labels use hồ sơ mua bán and hồ sơ thuê instead of contract wording.</w:t>
      </w:r>
    </w:p>
    <w:p>
      <w:pPr>
        <w:pStyle w:val="ListParagraph"/>
        <w:ind w:left="720" w:hanging="360"/>
      </w:pPr>
      <w:r>
        <w:t xml:space="preserve">- Feature tests cover admin transaction detail actions, cancel refund and dispute terminal outcome.</w:t>
      </w:r>
    </w:p>
    <w:p>
      <w:pPr>
        <w:pStyle w:val="Heading1"/>
      </w:pPr>
      <w:r>
        <w:t xml:space="preserve">Next Work</w:t>
      </w:r>
    </w:p>
    <w:p>
      <w:pPr>
        <w:pStyle w:val="ListParagraph"/>
        <w:ind w:left="720" w:hanging="360"/>
      </w:pPr>
      <w:r>
        <w:t xml:space="preserve">- Add a data migration to normalize existing generated/template document rows once legacy aliases can be retired.</w:t>
      </w:r>
    </w:p>
    <w:p>
      <w:pPr>
        <w:pStyle w:val="ListParagraph"/>
        <w:ind w:left="720" w:hanging="360"/>
      </w:pPr>
      <w:r>
        <w:t xml:space="preserve">- Expose backend document type options so Admin and Customer can stop keeping duplicated label maps.</w:t>
      </w:r>
    </w:p>
    <w:p>
      <w:pPr>
        <w:pStyle w:val="ListParagraph"/>
        <w:ind w:left="720" w:hanging="360"/>
      </w:pPr>
      <w:r>
        <w:t xml:space="preserve">- Promote dispute outcomes to a shared enum/constant across request, service, tests and frontend.</w:t>
      </w:r>
    </w:p>
    <w:p>
      <w:pPr>
        <w:pStyle w:val="ListParagraph"/>
        <w:ind w:left="720" w:hanging="360"/>
      </w:pPr>
      <w:r>
        <w:t xml:space="preserve">- Notify both customers after every dispute outcome and expose the outcome in transaction history.</w:t>
      </w:r>
    </w:p>
    <w:p>
      <w:pPr>
        <w:pStyle w:val="ListParagraph"/>
        <w:ind w:left="720" w:hanging="360"/>
      </w:pPr>
      <w:r>
        <w:t xml:space="preserve">- Add end-to-end tests for checkout -&gt; payment -&gt; handover -&gt; acceptance -&gt; completion and checkout -&gt; dispute -&gt; refund/cancel.</w:t>
      </w:r>
    </w:p>
    <w:p>
      <w:pPr>
        <w:pStyle w:val="Heading1"/>
      </w:pPr>
      <w:r>
        <w:t xml:space="preserve">Validation</w:t>
      </w:r>
    </w:p>
    <w:p>
      <w:pPr>
        <w:pStyle w:val="ListParagraph"/>
        <w:ind w:left="720" w:hanging="360"/>
      </w:pPr>
      <w:r>
        <w:t xml:space="preserve">- API full PHPUnit passed: 83 tests / 775 assertions.</w:t>
      </w:r>
    </w:p>
    <w:p>
      <w:pPr>
        <w:pStyle w:val="ListParagraph"/>
        <w:ind w:left="720" w:hanging="360"/>
      </w:pPr>
      <w:r>
        <w:t xml:space="preserve">- Admin check:all and build passed.</w:t>
      </w:r>
    </w:p>
    <w:p>
      <w:pPr>
        <w:pStyle w:val="ListParagraph"/>
        <w:ind w:left="720" w:hanging="360"/>
      </w:pPr>
      <w:r>
        <w:t xml:space="preserve">- MBN lint, build and API contract check passed.</w:t>
      </w:r>
    </w:p>
    <w:p>
      <w:pPr>
        <w:pStyle w:val="ListParagraph"/>
        <w:ind w:left="720" w:hanging="360"/>
      </w:pPr>
      <w:r>
        <w:t xml:space="preserve">- Whitespace diff checks passed for all three repos.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  <w:pPr>
      <w:spacing w:after="120" w:line="276" w:lineRule="auto"/>
    </w:pPr>
  </w:style>
  <w:style w:type="paragraph" w:styleId="Title">
    <w:name w:val="Title"/>
    <w:basedOn w:val="Normal"/>
    <w:rPr>
      <w:b/>
      <w:sz w:val="38"/>
      <w:color w:val="1F2937"/>
    </w:rPr>
    <w:pPr>
      <w:spacing w:after="220"/>
    </w:pPr>
  </w:style>
  <w:style w:type="paragraph" w:styleId="Heading1">
    <w:name w:val="heading 1"/>
    <w:basedOn w:val="Normal"/>
    <w:rPr>
      <w:b/>
      <w:sz w:val="28"/>
      <w:color w:val="374151"/>
    </w:rPr>
    <w:pPr>
      <w:spacing w:before="260" w:after="120"/>
    </w:pPr>
  </w:style>
  <w:style w:type="paragraph" w:styleId="ListParagraph">
    <w:name w:val="List Paragraph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