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p>
      <w:pPr>
        <w:pStyle w:val="Heading1"/>
      </w:pPr>
      <w:r>
        <w:t>Owner split follow-up — 2026-08-05</w:t>
      </w:r>
    </w:p>
    <w:p>
      <w:r>
        <w:t>• Admin separates BaseForm, BaseFilter, BaseTable and Reconciliation presentation/control owners without changing marketplace behavior or API contracts.</w:t>
      </w:r>
    </w:p>
    <w:p>
      <w:r>
        <w:t>• MBN keeps account, purchase-detail and content-route styles under route owners and prevents route-only CSS from returning to the global manifest.</w:t>
      </w:r>
    </w:p>
    <w:p>
      <w:r>
        <w:t>• The API transaction, payout, document-template versioning, customer isolation and mini_bounded scope are unchanged.</w:t>
      </w:r>
    </w:p>
    <w:p>
      <w:r>
        <w:t>• Any bundle, browser, transactional E2E or release evidence produced before this source update is historical and must not be reused.</w:t>
      </w:r>
    </w:p>
    <w:p>
      <w:r>
        <w:t>• Final release verification requires clean committed and pushed Git HEADs, fresh frontend builds, visual regression, full API tests, composer release:all and hash-matched evidence finalization.</w:t>
      </w:r>
    </w:p>
    <w:p>
      <w:pPr>
        <w:pStyle w:val="Heading1"/>
      </w:pPr>
      <w:r>
        <w:t>Giao dịch trung gian tài sản số — 2026-08-05</w:t>
      </w:r>
    </w:p>
    <w:p>
      <w:r>
        <w:t>Phạm vi Mini bounded: mở rộng transaction lifecycle hiện có cho tài khoản trò chơi và vật phẩm trong game; không tạo module escrow song song và không đưa company, RBAC phức tạp, HR, accounting, report hoặc project runtime vào AXIRO Mini.</w:t>
      </w:r>
    </w:p>
    <w:p>
      <w:r>
        <w:rPr>
          <w:b/>
        </w:rPr>
        <w:t>Ownership và contract</w:t>
      </w:r>
    </w:p>
    <w:p>
      <w:pPr>
        <w:pStyle w:val="ListParagraph"/>
      </w:pPr>
      <w:r>
        <w:t>• API dùng TransactionEscrowHandoverService dưới TransactionLifecycleService và TransactionActionPolicy; phương thức bàn giao, thời gian kiểm tra và yêu cầu biên bản được snapshot bất biến vào transaction.</w:t>
      </w:r>
    </w:p>
    <w:p>
      <w:pPr>
        <w:pStyle w:val="ListParagraph"/>
      </w:pPr>
      <w:r>
        <w:t>• Admin tiếp tục dùng BaseForm/BaseFormControl và lazy TransactionEscrowPanel; MBN dùng repository marketplace, useProductForm, usePurchaseDetailActions, useTransactionEscrowAction, BaseForm và GamingModal.</w:t>
      </w:r>
    </w:p>
    <w:p>
      <w:pPr>
        <w:pStyle w:val="ListParagraph"/>
      </w:pPr>
      <w:r>
        <w:t>• Contract 2026-08-05.1 đồng bộ ba repo, hỗ trợ account_credentials, email_transfer, in_game_trade và gift_code.</w:t>
      </w:r>
    </w:p>
    <w:p>
      <w:r>
        <w:rPr>
          <w:b/>
        </w:rPr>
        <w:t>Luồng giao dịch</w:t>
      </w:r>
    </w:p>
    <w:p>
      <w:pPr>
        <w:pStyle w:val="ListParagraph"/>
      </w:pPr>
      <w:r>
        <w:t>1. Người bán cấu hình loại tài sản, phương thức bàn giao, thời gian kiểm tra và yêu cầu biên bản trước bàn giao.</w:t>
      </w:r>
    </w:p>
    <w:p>
      <w:pPr>
        <w:pStyle w:val="ListParagraph"/>
      </w:pPr>
      <w:r>
        <w:t>2. Khi checkout, chính sách được snapshot vào giao dịch. Sau thanh toán, seller_handover bị khóa nếu thiếu before_handover snapshot bắt buộc.</w:t>
      </w:r>
    </w:p>
    <w:p>
      <w:pPr>
        <w:pStyle w:val="ListParagraph"/>
      </w:pPr>
      <w:r>
        <w:t>3. Bàn giao hợp lệ mở inspection_deadline_at; bên nhận xác nhận bằng buyer_receive hoặc mở tranh chấp nếu sai lệch.</w:t>
      </w:r>
    </w:p>
    <w:p>
      <w:pPr>
        <w:pStyle w:val="ListParagraph"/>
      </w:pPr>
      <w:r>
        <w:t>4. Biên bản giao dịch và checklist an toàn sử dụng snapshot giao dịch, không đọc động cấu hình sản phẩm sau checkout.</w:t>
      </w:r>
    </w:p>
    <w:p>
      <w:r>
        <w:rPr>
          <w:b/>
        </w:rPr>
        <w:t>An toàn dữ liệu và kiểm chứng</w:t>
      </w:r>
    </w:p>
    <w:p>
      <w:r>
        <w:t>Không lưu hoặc yêu cầu mật khẩu, OTP, mã khôi phục, cookie hay secret trong schema, note, form hoặc document merge fields. Demo có ITEM-0901 cho luồng in_game_trade; transactional E2E source bao phủ snapshot, inspection deadline, rental và item handover. Browser, PHPUnit, transactional E2E và release:all phải chạy lại từ clean pushed HEAD trước khi finalize evidence.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