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120"/>
        <w:jc w:val="left"/>
      </w:pPr>
      <w:r>
        <w:rPr>
          <w:b/>
          <w:sz w:val="32"/>
          <w:color w:val="2E74B5"/>
        </w:rPr>
        <w:t>Product-only / Transaction-first Notes</w:t>
      </w:r>
    </w:p>
    <w:p>
      <w:pPr>
        <w:spacing w:after="180"/>
      </w:pPr>
      <w:r>
        <w:rPr>
          <w:sz w:val="22"/>
          <w:color w:val="555555"/>
        </w:rPr>
        <w:t>2026-08-02 | API canonical merge note</w:t>
      </w:r>
    </w:p>
    <w:p>
      <w:pPr>
        <w:spacing w:before="200" w:after="80"/>
      </w:pPr>
      <w:r>
        <w:rPr>
          <w:b/>
          <w:sz w:val="26"/>
          <w:color w:val="2E74B5"/>
        </w:rPr>
        <w:t>Decision</w:t>
      </w:r>
    </w:p>
    <w:p>
      <w:pPr>
        <w:spacing w:after="120"/>
        <w:line w:val="300" w:lineRule="auto"/>
      </w:pPr>
      <w:r>
        <w:rPr>
          <w:sz w:val="22"/>
        </w:rPr>
        <w:t>MBN now treats Product as the canonical marketplace asset. ProductListing is removed from production code, routes, migrations and storage checks. Transaction is the lifecycle owner for sale, rental, deposit, installment, payment, handover, return, dispute and settlement workflows.</w:t>
      </w:r>
    </w:p>
    <w:p>
      <w:pPr>
        <w:spacing w:before="200" w:after="80"/>
      </w:pPr>
      <w:r>
        <w:rPr>
          <w:b/>
          <w:sz w:val="26"/>
          <w:color w:val="2E74B5"/>
        </w:rPr>
        <w:t>Kept</w:t>
      </w:r>
    </w:p>
    <w:p>
      <w:pPr>
        <w:spacing w:after="120"/>
        <w:line w:val="300" w:lineRule="auto"/>
      </w:pPr>
      <w:r>
        <w:rPr>
          <w:sz w:val="22"/>
        </w:rPr>
        <w:t>Products with offer_modes; product_rental_rates, holds, favorites and availability history; transactions.product_id; generated_documents, document_templates and acceptances as transaction evidence; compatibility tests proving legacy listing files, tables and routes are absent.</w:t>
      </w:r>
    </w:p>
    <w:p>
      <w:pPr>
        <w:spacing w:before="200" w:after="80"/>
      </w:pPr>
      <w:r>
        <w:rPr>
          <w:b/>
          <w:sz w:val="26"/>
          <w:color w:val="2E74B5"/>
        </w:rPr>
        <w:t>Removed / Deprecated</w:t>
      </w:r>
    </w:p>
    <w:p>
      <w:pPr>
        <w:spacing w:after="120"/>
        <w:line w:val="300" w:lineRule="auto"/>
      </w:pPr>
      <w:r>
        <w:rPr>
          <w:sz w:val="22"/>
        </w:rPr>
        <w:t>ProductListing, ListingController, CustomerListingController, product_listings, listing_favorites, listing_rental_rates and compatibility migrations that reintroduce listing storage. Contract-like artifacts are generated documents under a transaction, not a standalone workflow.</w:t>
      </w:r>
    </w:p>
    <w:p>
      <w:pPr>
        <w:spacing w:before="200" w:after="80"/>
      </w:pPr>
      <w:r>
        <w:rPr>
          <w:b/>
          <w:sz w:val="26"/>
          <w:color w:val="2E74B5"/>
        </w:rPr>
        <w:t>Merge Notes</w:t>
      </w:r>
    </w:p>
    <w:p>
      <w:pPr>
        <w:spacing w:after="120"/>
        <w:line w:val="300" w:lineRule="auto"/>
      </w:pPr>
      <w:r>
        <w:rPr>
          <w:sz w:val="22"/>
        </w:rPr>
        <w:t>Do not rebuild marketplace flows around listings. Do not add a separate contract CRUD surface for MBN unless a future legal workflow requires it. Keep API envelopes and /api/v1 unchanged. Lifecycle or integrity changes must keep feature tests green.</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rPr>
      <w:rFonts w:ascii="Calibri" w:hAnsi="Calibri"/>
      <w:sz w:val="22"/>
    </w:rPr>
  </w:style>
</w:styles>
</file>

<file path=word/_rels/document.xml.rels><?xml version="1.0" encoding="UTF-8" standalone="yes"?>
<Relationships xmlns="http://schemas.openxmlformats.org/package/2006/relationships"/>
</file>