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API - Options, Dispute Outcome and Lifecycle E2E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the AXIRO parent direction.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Transaction remains the lifecycle owner; documents are transaction evidence, not a standalone Contract module.</w:t>
      </w:r>
    </w:p>
    <w:p>
      <w:pPr>
        <w:pStyle w:val="ListParagraph"/>
        <w:ind w:left="720" w:hanging="360"/>
      </w:pPr>
      <w:r>
        <w:t xml:space="preserve">- Marketplace options provide canonical labels for document types and dispute outcomes to Admin and Customer apps.</w:t>
      </w:r>
    </w:p>
    <w:p>
      <w:pPr>
        <w:pStyle w:val="ListParagraph"/>
        <w:ind w:left="720" w:hanging="360"/>
      </w:pPr>
      <w:r>
        <w:t xml:space="preserve">- Dispute resolution must end with an explicit outcome: complete, cancel_refund, cancel_no_refund or reopen.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DocumentTemplateType and GeneratedDocumentStatus.</w:t>
      </w:r>
    </w:p>
    <w:p>
      <w:pPr>
        <w:pStyle w:val="ListParagraph"/>
        <w:ind w:left="720" w:hanging="360"/>
      </w:pPr>
      <w:r>
        <w:t xml:space="preserve">- Keep mutation validation in FormRequest, matching GenerateDocumentRequest and DocumentTemplateRequest.</w:t>
      </w:r>
    </w:p>
    <w:p>
      <w:pPr>
        <w:pStyle w:val="ListParagraph"/>
        <w:ind w:left="720" w:hanging="360"/>
      </w:pPr>
      <w:r>
        <w:t xml:space="preserve">- Keep transaction status as lifecycle action output, not a raw editable field.</w:t>
      </w:r>
    </w:p>
    <w:p>
      <w:pPr>
        <w:pStyle w:val="ListParagraph"/>
        <w:ind w:left="720" w:hanging="360"/>
      </w:pPr>
      <w:r>
        <w:t xml:space="preserve">- Use explicit option labels in forms; avoid raw key or ID entry for document/dispute workflows.</w:t>
      </w:r>
    </w:p>
    <w:p>
      <w:pPr>
        <w:pStyle w:val="ListParagraph"/>
        <w:ind w:left="720" w:hanging="360"/>
      </w:pPr>
      <w:r>
        <w:t xml:space="preserve">- Do not port approval center, document compliance, accounting sync, system operations or import/export recovery into Mini.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DisputeOutcome enum and backend marketplace options endpoint.</w:t>
      </w:r>
    </w:p>
    <w:p>
      <w:pPr>
        <w:pStyle w:val="ListParagraph"/>
        <w:ind w:left="720" w:hanging="360"/>
      </w:pPr>
      <w:r>
        <w:t xml:space="preserve">- DocumentType owns canonical keys, labels and legacy sale_contract/rental_contract aliases.</w:t>
      </w:r>
    </w:p>
    <w:p>
      <w:pPr>
        <w:pStyle w:val="ListParagraph"/>
        <w:ind w:left="720" w:hanging="360"/>
      </w:pPr>
      <w:r>
        <w:t xml:space="preserve">- Admin and Customer now load document labels from marketplace options with safe fallback labels.</w:t>
      </w:r>
    </w:p>
    <w:p>
      <w:pPr>
        <w:pStyle w:val="ListParagraph"/>
        <w:ind w:left="720" w:hanging="360"/>
      </w:pPr>
      <w:r>
        <w:t xml:space="preserve">- Dispute outcome is stored on marketplace_disputes and notification is sent to both buyer and seller.</w:t>
      </w:r>
    </w:p>
    <w:p>
      <w:pPr>
        <w:pStyle w:val="ListParagraph"/>
        <w:ind w:left="720" w:hanging="360"/>
      </w:pPr>
      <w:r>
        <w:t xml:space="preserve">- E2E tests cover normal completion and dispute refund/cancel terminal lifecycle.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scope is limited to options, document labels, dispute outcome and lifecycle tests.</w:t>
      </w:r>
    </w:p>
    <w:p>
      <w:pPr>
        <w:pStyle w:val="ListParagraph"/>
        <w:ind w:left="720" w:hanging="360"/>
      </w:pPr>
      <w:r>
        <w:t xml:space="preserve">- No RBAC, company/project/team, approval center, BI, accounting or enterprise operations dependency was added.</w:t>
      </w:r>
    </w:p>
    <w:p>
      <w:pPr>
        <w:pStyle w:val="ListParagraph"/>
        <w:ind w:left="720" w:hanging="360"/>
      </w:pPr>
      <w:r>
        <w:t xml:space="preserve">- Current base is still developing, so marketplace_disputes.outcome is added to the original migration; split migration later for deployed databases.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Add version/cache metadata to marketplace options so clients can invalidate labels safely.</w:t>
      </w:r>
    </w:p>
    <w:p>
      <w:pPr>
        <w:pStyle w:val="ListParagraph"/>
        <w:ind w:left="720" w:hanging="360"/>
      </w:pPr>
      <w:r>
        <w:t xml:space="preserve">- Show dispute outcome in customer transaction timeline with resolver and timestamp.</w:t>
      </w:r>
    </w:p>
    <w:p>
      <w:pPr>
        <w:pStyle w:val="ListParagraph"/>
        <w:ind w:left="720" w:hanging="360"/>
      </w:pPr>
      <w:r>
        <w:t xml:space="preserve">- Add rental E2E: active -&gt; return -&gt; returned -&gt; completed and rental dispute -&gt; cancel/refund.</w:t>
      </w:r>
    </w:p>
    <w:p>
      <w:pPr>
        <w:pStyle w:val="ListParagraph"/>
        <w:ind w:left="720" w:hanging="360"/>
      </w:pPr>
      <w:r>
        <w:t xml:space="preserve">- Generate frontend fallback labels from the API contract to avoid duplicated manual maps.</w:t>
      </w:r>
    </w:p>
    <w:p>
      <w:pPr>
        <w:pStyle w:val="ListParagraph"/>
        <w:ind w:left="720" w:hanging="360"/>
      </w:pPr>
      <w:r>
        <w:t xml:space="preserve">- Decide when to migrate old sale_contract/rental_contract rows and retire read aliases.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86 tests / 796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API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