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Outer Parent Base Recheck - 2026-08-01</w:t>
      </w:r>
    </w:p>
    <w:p/>
    <w:p>
      <w:pPr>
        <w:pStyle w:val="Heading1"/>
      </w:pPr>
      <w:r>
        <w:t xml:space="preserve">Scope</w:t>
      </w:r>
    </w:p>
    <w:p/>
    <w:p>
      <w:r>
        <w:t xml:space="preserve">Checked the current outer parent repositories:</w:t>
      </w:r>
    </w:p>
    <w:p/>
    <w:p>
      <w:pPr>
        <w:numPr>
          <w:ilvl w:val="0"/>
          <w:numId w:val="1"/>
        </w:numPr>
      </w:pPr>
      <w:r>
        <w:t xml:space="preserve">`/Users/minhdc/Documents/Workspaces/bds-mylands/mylands-admin`</w:t>
      </w:r>
    </w:p>
    <w:p>
      <w:pPr>
        <w:numPr>
          <w:ilvl w:val="0"/>
          <w:numId w:val="1"/>
        </w:numPr>
      </w:pPr>
      <w:r>
        <w:t xml:space="preserve">`/Users/minhdc/Documents/Workspaces/bds-mylands/mylands-api`</w:t>
      </w:r>
    </w:p>
    <w:p/>
    <w:p>
      <w:r>
        <w:t xml:space="preserve">This API base must preserve the AXIRO response envelope, `/api/v1` routing, FormRequest validation shape, Resource/presenter conventions, service lifecycle ownership, and audit/correlation patterns without importing the Mylands domain graph.</w:t>
      </w:r>
    </w:p>
    <w:p/>
    <w:p>
      <w:pPr>
        <w:pStyle w:val="Heading1"/>
      </w:pPr>
      <w:r>
        <w:t xml:space="preserve">Findings</w:t>
      </w:r>
    </w:p>
    <w:p/>
    <w:p>
      <w:pPr>
        <w:numPr>
          <w:ilvl w:val="0"/>
          <w:numId w:val="1"/>
        </w:numPr>
      </w:pPr>
      <w:r>
        <w:t xml:space="preserve">`mylands-api` is clean on `develop` and contains the broader AXIRO parent stack.</w:t>
      </w:r>
    </w:p>
    <w:p>
      <w:pPr>
        <w:numPr>
          <w:ilvl w:val="0"/>
          <w:numId w:val="1"/>
        </w:numPr>
      </w:pPr>
      <w:r>
        <w:t xml:space="preserve">The parent `BaseRepository` and repository interface remain intentionally excluded because they are coupled to company-aware pagination, filter/sort traits, global request helpers, and parent domain scope.</w:t>
      </w:r>
    </w:p>
    <w:p>
      <w:pPr>
        <w:numPr>
          <w:ilvl w:val="0"/>
          <w:numId w:val="1"/>
        </w:numPr>
      </w:pPr>
      <w:r>
        <w:t xml:space="preserve">Parent API request and route structure remain a pattern source, not a direct copy source, for this Mini API.</w:t>
      </w:r>
    </w:p>
    <w:p>
      <w:pPr>
        <w:numPr>
          <w:ilvl w:val="0"/>
          <w:numId w:val="1"/>
        </w:numPr>
      </w:pPr>
      <w:r>
        <w:t xml:space="preserve">No forbidden runtime dependency was found in the Mini API implementation for company, department, project, accounting, report, reservation, inventory, RBAC, role, or permission modules. Existing matches are test assertions that protect the boundary.</w:t>
      </w:r>
    </w:p>
    <w:p>
      <w:pPr>
        <w:numPr>
          <w:ilvl w:val="0"/>
          <w:numId w:val="1"/>
        </w:numPr>
      </w:pPr>
      <w:r>
        <w:t xml:space="preserve">The bounded Mini list query, repository, response, and route owners remain the correct architecture for this base stage.</w:t>
      </w:r>
    </w:p>
    <w:p/>
    <w:p>
      <w:pPr>
        <w:pStyle w:val="Heading1"/>
      </w:pPr>
      <w:r>
        <w:t xml:space="preserve">Merge Position</w:t>
      </w:r>
    </w:p>
    <w:p/>
    <w:p>
      <w:r>
        <w:t xml:space="preserve">Development merge is acceptable for the API base. Do not port parent accounting, report, RBAC, company, project, department, reservation, or inventory code into this base unless a future product explicitly changes the base boundary.</w:t>
      </w:r>
    </w:p>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pPr>
      <w:spacing w:after="120" w:line="280" w:lineRule="auto"/>
    </w:pPr>
    <w:rPr>
      <w:rFonts w:ascii="Calibri" w:hAnsi="Calibri"/>
      <w:sz w:val="22"/>
    </w:rPr>
  </w:style>
  <w:style w:type="paragraph" w:styleId="Title">
    <w:name w:val="Title"/>
    <w:basedOn w:val="Normal"/>
    <w:pPr>
      <w:spacing w:after="160"/>
    </w:pPr>
    <w:rPr>
      <w:rFonts w:ascii="Calibri" w:hAnsi="Calibri"/>
      <w:b/>
      <w:color w:val="0B2545"/>
      <w:sz w:val="32"/>
    </w:rPr>
  </w:style>
  <w:style w:type="paragraph" w:styleId="Heading1">
    <w:name w:val="heading 1"/>
    <w:basedOn w:val="Normal"/>
    <w:pPr>
      <w:spacing w:before="240" w:after="120"/>
    </w:pPr>
    <w:rPr>
      <w:rFonts w:ascii="Calibri" w:hAnsi="Calibri"/>
      <w:b/>
      <w:color w:val="2E74B5"/>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