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MBN React - Rental Settlement Wording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mbn-react</w:t>
      </w:r>
    </w:p>
    <w:p>
      <w:r>
        <w:t>Accepted baseline commit: b3222da</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p>
      <w:pPr>
        <w:pStyle w:val="Heading1"/>
      </w:pPr>
      <w:r>
        <w:t>Route and CSS Owner Closure - 2026-08-04</w:t>
      </w:r>
    </w:p>
    <w:p>
      <w:r>
        <w:rPr>
          <w:b/>
        </w:rPr>
        <w:t xml:space="preserve">Admin: </w:t>
      </w:r>
      <w:r>
        <w:t>Reconciliation summary/export, Transaction Detail command/sections, and Notification Detail presentation are demand-loaded owners. Fresh bundle measurement is required.</w:t>
      </w:r>
    </w:p>
    <w:p>
      <w:r>
        <w:rPr>
          <w:b/>
        </w:rPr>
        <w:t xml:space="preserve">MBN: </w:t>
      </w:r>
      <w:r>
        <w:t>Account and route-specific mobile styles were removed from the global manifest. Sass manifests use @forward and deprecated SCSS @import is blocked.</w:t>
      </w:r>
    </w:p>
    <w:p>
      <w:r>
        <w:rPr>
          <w:b/>
        </w:rPr>
        <w:t xml:space="preserve">Release evidence: </w:t>
      </w:r>
      <w:r>
        <w:t>All build, browser, transactional, DOCX and hash-finalization gates are pending rerun after these source changes. No previous runtime result may be reused.</w:t>
      </w:r>
    </w:p>
    <w:p>
      <w:pPr>
        <w:pStyle w:val="Heading1"/>
      </w:pPr>
      <w:r>
        <w:t>Owner split follow-up — 2026-08-05</w:t>
      </w:r>
    </w:p>
    <w:p>
      <w:r>
        <w:t>• Admin separates BaseForm, BaseFilter, BaseTable and Reconciliation presentation/control owners without changing marketplace behavior or API contracts.</w:t>
      </w:r>
    </w:p>
    <w:p>
      <w:r>
        <w:t>• MBN keeps account, purchase-detail and content-route styles under route owners and prevents route-only CSS from returning to the global manifest.</w:t>
      </w:r>
    </w:p>
    <w:p>
      <w:r>
        <w:t>• The API transaction, payout, document-template versioning, customer isolation and mini_bounded scope are unchanged.</w:t>
      </w:r>
    </w:p>
    <w:p>
      <w:r>
        <w:t>• Any bundle, browser, transactional E2E or release evidence produced before this source update is historical and must not be reused.</w:t>
      </w:r>
    </w:p>
    <w:p>
      <w:r>
        <w:t>• Final release verification requires clean committed and pushed Git HEADs, fresh frontend builds, visual regression, full API tests, composer release:all and hash-matched evidence finalization.</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