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120"/>
        <w:jc w:val="left"/>
      </w:pPr>
      <w:r>
        <w:rPr>
          <w:b/>
          <w:sz w:val="32"/>
          <w:color w:val="2E74B5"/>
        </w:rPr>
        <w:t>Product-only / Transaction-first Notes</w:t>
      </w:r>
    </w:p>
    <w:p>
      <w:pPr>
        <w:spacing w:after="180"/>
      </w:pPr>
      <w:r>
        <w:rPr>
          <w:sz w:val="22"/>
          <w:color w:val="555555"/>
        </w:rPr>
        <w:t>2026-08-02 | Customer app canonical merge note</w:t>
      </w:r>
    </w:p>
    <w:p>
      <w:pPr>
        <w:spacing w:before="200" w:after="80"/>
      </w:pPr>
      <w:r>
        <w:rPr>
          <w:b/>
          <w:sz w:val="26"/>
          <w:color w:val="2E74B5"/>
        </w:rPr>
        <w:t>Decision</w:t>
      </w:r>
    </w:p>
    <w:p>
      <w:pPr>
        <w:spacing w:after="120"/>
        <w:line w:val="300" w:lineRule="auto"/>
      </w:pPr>
      <w:r>
        <w:rPr>
          <w:sz w:val="22"/>
        </w:rPr>
        <w:t>The public MBN app uses Products directly. Listing pages and listing form pages are replaced by My Products and Product Form. Offer modes are normalized at the detail page boundary: sell/sale -&gt; sale and rent/rental -&gt; rental.</w:t>
      </w:r>
    </w:p>
    <w:p>
      <w:pPr>
        <w:spacing w:before="200" w:after="80"/>
      </w:pPr>
      <w:r>
        <w:rPr>
          <w:b/>
          <w:sz w:val="26"/>
          <w:color w:val="2E74B5"/>
        </w:rPr>
        <w:t>Customer Surface</w:t>
      </w:r>
    </w:p>
    <w:p>
      <w:pPr>
        <w:spacing w:after="120"/>
        <w:line w:val="300" w:lineRule="auto"/>
      </w:pPr>
      <w:r>
        <w:rPr>
          <w:sz w:val="22"/>
        </w:rPr>
        <w:t>Catalog and detail pages read products. Sellers manage products, offer modes and rental rates. Buyers/renters create transactions from products. Customer documents are shown as transaction documents. Support, wallet, payout, trust and account flows stay transaction/product oriented.</w:t>
      </w:r>
    </w:p>
    <w:p>
      <w:pPr>
        <w:spacing w:before="200" w:after="80"/>
      </w:pPr>
      <w:r>
        <w:rPr>
          <w:b/>
          <w:sz w:val="26"/>
          <w:color w:val="2E74B5"/>
        </w:rPr>
        <w:t>Removed / Deprecated</w:t>
      </w:r>
    </w:p>
    <w:p>
      <w:pPr>
        <w:spacing w:after="120"/>
        <w:line w:val="300" w:lineRule="auto"/>
      </w:pPr>
      <w:r>
        <w:rPr>
          <w:sz w:val="22"/>
        </w:rPr>
        <w:t>ListingFormPage, MyListingsPage, customer/listings and marketplace/listings client references, listing_type validation labels and legacy seller-listing CSS source file.</w:t>
      </w:r>
    </w:p>
    <w:p>
      <w:pPr>
        <w:spacing w:before="200" w:after="80"/>
      </w:pPr>
      <w:r>
        <w:rPr>
          <w:b/>
          <w:sz w:val="26"/>
          <w:color w:val="2E74B5"/>
        </w:rPr>
        <w:t>Merge Notes</w:t>
      </w:r>
    </w:p>
    <w:p>
      <w:pPr>
        <w:spacing w:after="120"/>
        <w:line w:val="300" w:lineRule="auto"/>
      </w:pPr>
      <w:r>
        <w:rPr>
          <w:sz w:val="22"/>
        </w:rPr>
        <w:t>Do not reintroduce listing routes or listing repositories. Keep user-facing text on san pham, tai khoan and giao dich unless the text is editorial/legal guidance. Product-only checks should validate behavior, not freeze a single implementation string.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</w:styles>
</file>

<file path=word/_rels/document.xml.rels><?xml version="1.0" encoding="UTF-8" standalone="yes"?>
<Relationships xmlns="http://schemas.openxmlformats.org/package/2006/relationships"/>
</file>