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MBN React - Customer Transaction Scope Notes</w:t>
      </w:r>
    </w:p>
    <w:p>
      <w:pPr/>
      <w:r>
        <w:t xml:space="preserve">Updated: 2026-08-02</w:t>
      </w:r>
    </w:p>
    <w:p>
      <w:pPr/>
      <w:r>
        <w:t xml:space="preserve">Consolidated closure note for the one-admin-many-customers marketplace scope.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Target model: one admin operator serving many customers.</w:t>
      </w:r>
    </w:p>
    <w:p>
      <w:pPr>
        <w:pStyle w:val="ListParagraph"/>
        <w:ind w:left="720" w:hanging="360"/>
      </w:pPr>
      <w:r>
        <w:t xml:space="preserve">- Customer app giữ trải nghiệm transaction-first, chỉ hiển thị hồ sơ như bằng chứng gắn với giao dịch.</w:t>
      </w:r>
    </w:p>
    <w:p>
      <w:pPr>
        <w:pStyle w:val="ListParagraph"/>
        <w:ind w:left="720" w:hanging="360"/>
      </w:pPr>
      <w:r>
        <w:t xml:space="preserve">- Transaction remains the business lifecycle owner; documents are transaction evidence only.</w:t>
      </w:r>
    </w:p>
    <w:p>
      <w:pPr>
        <w:pStyle w:val="ListParagraph"/>
        <w:ind w:left="720" w:hanging="360"/>
      </w:pPr>
      <w:r>
        <w:t xml:space="preserve">- Excluded: RBAC, company/project/team scope, fraud engine, SLA engine, report/BI runtime and multi-step approval workflows.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Customer copy chuyển sang hồ sơ giao dịch và hồ sơ mua bán/thuê.</w:t>
      </w:r>
    </w:p>
    <w:p>
      <w:pPr>
        <w:pStyle w:val="ListParagraph"/>
        <w:ind w:left="720" w:hanging="360"/>
      </w:pPr>
      <w:r>
        <w:t xml:space="preserve">- Không đưa Contract CRUD hoặc admin operations complexity sang storefront.</w:t>
      </w:r>
    </w:p>
    <w:p>
      <w:pPr>
        <w:pStyle w:val="ListParagraph"/>
        <w:ind w:left="720" w:hanging="360"/>
      </w:pPr>
      <w:r>
        <w:t xml:space="preserve">- Checkout tiếp tục theo API contract hiện có, không fake thành công khi API lỗi.</w:t>
      </w:r>
    </w:p>
    <w:p>
      <w:pPr>
        <w:pStyle w:val="ListParagraph"/>
        <w:ind w:left="720" w:hanging="360"/>
      </w:pPr>
      <w:r>
        <w:t xml:space="preserve">- Các banner mới của user được giữ nguyên như tài sản giao diện hiện tại.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Code and business scope are aligned with the bounded Mini marketplace direction.</w:t>
      </w:r>
    </w:p>
    <w:p>
      <w:pPr>
        <w:pStyle w:val="ListParagraph"/>
        <w:ind w:left="720" w:hanging="360"/>
      </w:pPr>
      <w:r>
        <w:t xml:space="preserve">- Remaining contract wording is limited to API integration contract naming, not standalone business Contract CRUD.</w:t>
      </w:r>
    </w:p>
    <w:p>
      <w:pPr>
        <w:pStyle w:val="ListParagraph"/>
        <w:ind w:left="720" w:hanging="360"/>
      </w:pPr>
      <w:r>
        <w:t xml:space="preserve">- No extra standalone business module is required before merge for the current one-admin-many-customers scope.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npm run lint: PASS.</w:t>
      </w:r>
    </w:p>
    <w:p>
      <w:pPr>
        <w:pStyle w:val="ListParagraph"/>
        <w:ind w:left="720" w:hanging="360"/>
      </w:pPr>
      <w:r>
        <w:t xml:space="preserve">- npm run build: PASS.</w:t>
      </w:r>
    </w:p>
    <w:p>
      <w:pPr>
        <w:pStyle w:val="ListParagraph"/>
        <w:ind w:left="720" w:hanging="360"/>
      </w:pPr>
      <w:r>
        <w:t xml:space="preserve">- Marketplace/API contract checks: PASS.</w:t>
      </w:r>
    </w:p>
    <w:p>
      <w:pPr>
        <w:pStyle w:val="ListParagraph"/>
        <w:ind w:left="720" w:hanging="360"/>
      </w:pPr>
      <w:r>
        <w:t xml:space="preserve">- git diff --check: PASS.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40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