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production-grade AI 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Methodologically, the study combines forward-looking</w:t>
      </w:r>
      <w:r>
        <w:t xml:space="preserve"> </w:t>
      </w:r>
      <w:r>
        <w:t xml:space="preserve">vulnerability measurement with a causal identification strategy robust to</w:t>
      </w:r>
      <w:r>
        <w:t xml:space="preserve"> </w:t>
      </w:r>
      <w:r>
        <w:t xml:space="preserve">staggered treatment timing — an approach that allows the analysis to move beyond</w:t>
      </w:r>
      <w:r>
        <w:t xml:space="preserve"> </w:t>
      </w:r>
      <w:r>
        <w:t xml:space="preserve">program take-up effects to ask whether policy exposure reduces households’</w:t>
      </w:r>
      <w:r>
        <w:t xml:space="preserve"> </w:t>
      </w:r>
      <w:r>
        <w:t xml:space="preserve">prospective exposure to downward risk.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in preparation, that examines the organizational ecology of China’s</w:t>
      </w:r>
      <w:r>
        <w:t xml:space="preserve"> </w:t>
      </w:r>
      <w:r>
        <w:t xml:space="preserve">poverty alleviation governance and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: a distinctive model of state-led multi-actor</w:t>
      </w:r>
      <w:r>
        <w:t xml:space="preserve"> </w:t>
      </w:r>
      <w:r>
        <w:t xml:space="preserve">coordination — integrating government agencies, universities, enterprises, and</w:t>
      </w:r>
      <w:r>
        <w:t xml:space="preserve"> </w:t>
      </w:r>
      <w:r>
        <w:t xml:space="preserve">financial institutions — that departs structurally from the NGO-driven,</w:t>
      </w:r>
      <w:r>
        <w:t xml:space="preserve"> </w:t>
      </w:r>
      <w:r>
        <w:t xml:space="preserve">donor-dependent frameworks dominant in international development research. A</w:t>
      </w:r>
      <w:r>
        <w:t xml:space="preserve"> </w:t>
      </w:r>
      <w:r>
        <w:t xml:space="preserve">second working paper extends this framework through text-as-data methods,</w:t>
      </w:r>
      <w:r>
        <w:t xml:space="preserve"> </w:t>
      </w:r>
      <w:r>
        <w:t xml:space="preserve">developing a replicable pipeline for computational analysis of Chinese governance</w:t>
      </w:r>
      <w:r>
        <w:t xml:space="preserve"> </w:t>
      </w:r>
      <w:r>
        <w:t xml:space="preserve">documents at scale.</w:t>
      </w:r>
    </w:p>
    <w:p>
      <w:pPr>
        <w:pStyle w:val="BodyText"/>
      </w:pPr>
      <w:r>
        <w:t xml:space="preserve">This conceptual work is grounded in original data construction already underway.</w:t>
      </w:r>
      <w:r>
        <w:t xml:space="preserve"> </w:t>
      </w:r>
      <w:r>
        <w:t xml:space="preserve">Under the supervision of Professor Xiulan Zhang, I have applied computational</w:t>
      </w:r>
      <w:r>
        <w:t xml:space="preserve"> </w:t>
      </w:r>
      <w:r>
        <w:t xml:space="preserve">methods — including LLM-based document coding and structured information</w:t>
      </w:r>
      <w:r>
        <w:t xml:space="preserve"> </w:t>
      </w:r>
      <w:r>
        <w:t xml:space="preserve">extraction — to build two original databases. The first is a multi-actor</w:t>
      </w:r>
      <w:r>
        <w:t xml:space="preserve"> </w:t>
      </w:r>
      <w:r>
        <w:t xml:space="preserve">coordination database documenting government agency, enterprise, and social</w:t>
      </w:r>
      <w:r>
        <w:t xml:space="preserve"> </w:t>
      </w:r>
      <w:r>
        <w:t xml:space="preserve">organization participation in China’s poverty alleviation governance from 2010 to</w:t>
      </w:r>
      <w:r>
        <w:t xml:space="preserve"> </w:t>
      </w:r>
      <w:r>
        <w:t xml:space="preserve">2023, constructed from policy documents, government reports, and organizational</w:t>
      </w:r>
      <w:r>
        <w:t xml:space="preserve"> </w:t>
      </w:r>
      <w:r>
        <w:t xml:space="preserve">records at national scale. The second is a social organization database comprising</w:t>
      </w:r>
      <w:r>
        <w:t xml:space="preserve"> </w:t>
      </w:r>
      <w:r>
        <w:t xml:space="preserve">over 2,000 organizations, with approximately 26 months of longitudinal data on</w:t>
      </w:r>
      <w:r>
        <w:t xml:space="preserve"> </w:t>
      </w:r>
      <w:r>
        <w:t xml:space="preserve">funding flows and project activity. Together, these datasets constitute an</w:t>
      </w:r>
      <w:r>
        <w:t xml:space="preserve"> </w:t>
      </w:r>
      <w:r>
        <w:t xml:space="preserve">empirical foundation for organizational ecology research on Chinese governance that</w:t>
      </w:r>
      <w:r>
        <w:t xml:space="preserve"> </w:t>
      </w:r>
      <w:r>
        <w:t xml:space="preserve">does not yet exist in the field — and the starting point, not the ceiling, of the</w:t>
      </w:r>
      <w:r>
        <w:t xml:space="preserve"> </w:t>
      </w:r>
      <w:r>
        <w:t xml:space="preserve">data infrastructure required to connect implementation variation to household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almost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2026-05-07T15:53:45Z</dcterms:created>
  <dcterms:modified xsi:type="dcterms:W3CDTF">2026-05-07T15:53:45Z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