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ab7c54c7eb4252b0675f2ebb2160e6830f5013"/>
    <w:p>
      <w:pPr>
        <w:pStyle w:val="Heading1"/>
      </w:pPr>
      <w:r>
        <w:t xml:space="preserve">Personal Statement — CCCW Postdoctoral Fellowship (Ref. 535079)</w:t>
      </w:r>
    </w:p>
    <w:bookmarkEnd w:id="9"/>
    <w:bookmarkStart w:id="10" w:name="university-of-hong-kong"/>
    <w:p>
      <w:pPr>
        <w:pStyle w:val="Heading1"/>
      </w:pPr>
      <w:r>
        <w:t xml:space="preserve">University of Hong Kong</w:t>
      </w:r>
    </w:p>
    <w:bookmarkEnd w:id="10"/>
    <w:bookmarkStart w:id="11" w:name="mengnan-xu"/>
    <w:p>
      <w:pPr>
        <w:pStyle w:val="Heading1"/>
      </w:pPr>
      <w:r>
        <w:t xml:space="preserve">Mengnan Xu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My research occupies a specific intersection: I am a political scientist and public</w:t>
      </w:r>
      <w:r>
        <w:t xml:space="preserve"> </w:t>
      </w:r>
      <w:r>
        <w:t xml:space="preserve">management scholar trained at Beijing Normal University, with eight years of</w:t>
      </w:r>
      <w:r>
        <w:t xml:space="preserve"> </w:t>
      </w:r>
      <w:r>
        <w:t xml:space="preserve">empirical work on Chinese governance — and twelve months of production-grade AI</w:t>
      </w:r>
      <w:r>
        <w:t xml:space="preserve"> </w:t>
      </w:r>
      <w:r>
        <w:t xml:space="preserve">engineering experience at Apple. These are not separate tracks. The computational</w:t>
      </w:r>
      <w:r>
        <w:t xml:space="preserve"> </w:t>
      </w:r>
      <w:r>
        <w:t xml:space="preserve">methods I built and deployed industrially are the same tools I now bring back to</w:t>
      </w:r>
      <w:r>
        <w:t xml:space="preserve"> </w:t>
      </w:r>
      <w:r>
        <w:t xml:space="preserve">political science, where they address questions that conventional methods cannot</w:t>
      </w:r>
      <w:r>
        <w:t xml:space="preserve"> </w:t>
      </w:r>
      <w:r>
        <w:t xml:space="preserve">reach. It is this combination that I bring to the Postdoctoral Fellowship at the</w:t>
      </w:r>
      <w:r>
        <w:t xml:space="preserve"> </w:t>
      </w:r>
      <w:r>
        <w:t xml:space="preserve">Centre on Contemporary China and the World.</w:t>
      </w:r>
    </w:p>
    <w:p>
      <w:pPr>
        <w:pStyle w:val="BodyText"/>
      </w:pPr>
      <w:r>
        <w:t xml:space="preserve">My doctoral dissertation,</w:t>
      </w:r>
      <w:r>
        <w:t xml:space="preserve"> </w:t>
      </w:r>
      <w:r>
        <w:rPr>
          <w:i/>
          <w:iCs/>
        </w:rPr>
        <w:t xml:space="preserve">The Impact of Targeted Poverty Alleviation Policies on</w:t>
      </w:r>
      <w:r>
        <w:rPr>
          <w:i/>
          <w:iCs/>
        </w:rPr>
        <w:t xml:space="preserve"> </w:t>
      </w:r>
      <w:r>
        <w:rPr>
          <w:i/>
          <w:iCs/>
        </w:rPr>
        <w:t xml:space="preserve">Long-Term Development and Vulnerability to Poverty Relapse Among Rural Households:</w:t>
      </w:r>
      <w:r>
        <w:rPr>
          <w:i/>
          <w:iCs/>
        </w:rPr>
        <w:t xml:space="preserve"> </w:t>
      </w:r>
      <w:r>
        <w:rPr>
          <w:i/>
          <w:iCs/>
        </w:rPr>
        <w:t xml:space="preserve">Evidence from a Quasi-Natural Experiment Using CFPS Panel Data</w:t>
      </w:r>
      <w:r>
        <w:t xml:space="preserve"> </w:t>
      </w:r>
      <w:r>
        <w:t xml:space="preserve">(Beijing Normal</w:t>
      </w:r>
      <w:r>
        <w:t xml:space="preserve"> </w:t>
      </w:r>
      <w:r>
        <w:t xml:space="preserve">University, defense scheduled May 2026; passed blind external review), conducts a</w:t>
      </w:r>
      <w:r>
        <w:t xml:space="preserve"> </w:t>
      </w:r>
      <w:r>
        <w:t xml:space="preserve">rigorous causal evaluation of China’s flagship anti-poverty program. Drawing on six</w:t>
      </w:r>
      <w:r>
        <w:t xml:space="preserve"> </w:t>
      </w:r>
      <w:r>
        <w:t xml:space="preserve">waves of CFPS household panel data spanning 2010 to 2022, I apply staggered</w:t>
      </w:r>
      <w:r>
        <w:t xml:space="preserve"> </w:t>
      </w:r>
      <w:r>
        <w:t xml:space="preserve">difference-in-differences designs and a three-stage least squares vulnerability</w:t>
      </w:r>
      <w:r>
        <w:t xml:space="preserve"> </w:t>
      </w:r>
      <w:r>
        <w:t xml:space="preserve">estimation procedure to identify policy effects on household income trajectories</w:t>
      </w:r>
      <w:r>
        <w:t xml:space="preserve"> </w:t>
      </w:r>
      <w:r>
        <w:t xml:space="preserve">and — crucially — on prospective vulnerability to poverty relapse. The central</w:t>
      </w:r>
      <w:r>
        <w:t xml:space="preserve"> </w:t>
      </w:r>
      <w:r>
        <w:t xml:space="preserve">contribution is to show that targeted poverty alleviation operates through multiple</w:t>
      </w:r>
      <w:r>
        <w:t xml:space="preserve"> </w:t>
      </w:r>
      <w:r>
        <w:t xml:space="preserve">channels simultaneously: income gains, labor market restructuring, asset</w:t>
      </w:r>
      <w:r>
        <w:t xml:space="preserve"> </w:t>
      </w:r>
      <w:r>
        <w:t xml:space="preserve">accumulation, and a measurable reduction in households’ exposure to downward risk</w:t>
      </w:r>
      <w:r>
        <w:t xml:space="preserve"> </w:t>
      </w:r>
      <w:r>
        <w:t xml:space="preserve">over a multi-year horizon. This is the first study to apply forward-looking vulnerability measurement to</w:t>
      </w:r>
      <w:r>
        <w:t xml:space="preserve"> </w:t>
      </w:r>
      <w:r>
        <w:t xml:space="preserve">a major CCP governance initiative using a causal identification strategy robust</w:t>
      </w:r>
      <w:r>
        <w:t xml:space="preserve"> </w:t>
      </w:r>
      <w:r>
        <w:t xml:space="preserve">to staggered treatment timing.</w:t>
      </w:r>
    </w:p>
    <w:p>
      <w:pPr>
        <w:pStyle w:val="BodyText"/>
      </w:pPr>
      <w:r>
        <w:t xml:space="preserve">Alongside the dissertation, I have developed a parallel conceptual strand,</w:t>
      </w:r>
      <w:r>
        <w:t xml:space="preserve"> </w:t>
      </w:r>
      <w:r>
        <w:t xml:space="preserve">currently under revision for submission to</w:t>
      </w:r>
      <w:r>
        <w:t xml:space="preserve"> </w:t>
      </w:r>
      <w:r>
        <w:rPr>
          <w:i/>
          <w:iCs/>
        </w:rPr>
        <w:t xml:space="preserve">Journal of Chinese Governance</w:t>
      </w:r>
      <w:r>
        <w:t xml:space="preserve">, that</w:t>
      </w:r>
      <w:r>
        <w:t xml:space="preserve"> </w:t>
      </w:r>
      <w:r>
        <w:t xml:space="preserve">examines the organizational ecology of China’s poverty alleviation governance and</w:t>
      </w:r>
      <w:r>
        <w:t xml:space="preserve"> </w:t>
      </w:r>
      <w:r>
        <w:t xml:space="preserve">proposes the concept of a</w:t>
      </w:r>
      <w:r>
        <w:t xml:space="preserve"> </w:t>
      </w:r>
      <w:r>
        <w:t xml:space="preserve">“development governance knowledge system”</w:t>
      </w:r>
      <w:r>
        <w:t xml:space="preserve">: a distinctive</w:t>
      </w:r>
      <w:r>
        <w:t xml:space="preserve"> </w:t>
      </w:r>
      <w:r>
        <w:t xml:space="preserve">model of state-led multi-actor coordination — integrating government agencies,</w:t>
      </w:r>
      <w:r>
        <w:t xml:space="preserve"> </w:t>
      </w:r>
      <w:r>
        <w:t xml:space="preserve">universities, enterprises, and financial institutions — that departs structurally</w:t>
      </w:r>
      <w:r>
        <w:t xml:space="preserve"> </w:t>
      </w:r>
      <w:r>
        <w:t xml:space="preserve">from the NGO-driven, donor-dependent frameworks dominant in international</w:t>
      </w:r>
      <w:r>
        <w:t xml:space="preserve"> </w:t>
      </w:r>
      <w:r>
        <w:t xml:space="preserve">development research. A second working paper, in preparation for</w:t>
      </w:r>
      <w:r>
        <w:t xml:space="preserve"> </w:t>
      </w:r>
      <w:r>
        <w:rPr>
          <w:i/>
          <w:iCs/>
        </w:rPr>
        <w:t xml:space="preserve">China Quarterly</w:t>
      </w:r>
      <w:r>
        <w:t xml:space="preserve">,</w:t>
      </w:r>
      <w:r>
        <w:t xml:space="preserve"> </w:t>
      </w:r>
      <w:r>
        <w:t xml:space="preserve">extends this framework through text-as-data methods, developing a replicable</w:t>
      </w:r>
      <w:r>
        <w:t xml:space="preserve"> </w:t>
      </w:r>
      <w:r>
        <w:t xml:space="preserve">pipeline for computational analysis of Chinese governance documents at scale.</w:t>
      </w:r>
    </w:p>
    <w:p>
      <w:pPr>
        <w:pStyle w:val="BodyText"/>
      </w:pPr>
      <w:r>
        <w:t xml:space="preserve">My first-authored paper,</w:t>
      </w:r>
      <w:r>
        <w:t xml:space="preserve"> </w:t>
      </w:r>
      <w:r>
        <w:t xml:space="preserve">“Poor and Lazy: Understanding Middle-class Perceptions of</w:t>
      </w:r>
      <w:r>
        <w:t xml:space="preserve"> </w:t>
      </w:r>
      <w:r>
        <w:t xml:space="preserve">Poverty in China”</w:t>
      </w:r>
      <w:r>
        <w:t xml:space="preserve"> </w:t>
      </w:r>
      <w:r>
        <w:t xml:space="preserve">(</w:t>
      </w:r>
      <w:r>
        <w:rPr>
          <w:i/>
          <w:iCs/>
        </w:rPr>
        <w:t xml:space="preserve">Journal of Contemporary China</w:t>
      </w:r>
      <w:r>
        <w:t xml:space="preserve">, 2022, SSCI Q1), provides the</w:t>
      </w:r>
      <w:r>
        <w:t xml:space="preserve"> </w:t>
      </w:r>
      <w:r>
        <w:t xml:space="preserve">ideational complement to this governance analysis: it shows how middle-class</w:t>
      </w:r>
      <w:r>
        <w:t xml:space="preserve"> </w:t>
      </w:r>
      <w:r>
        <w:t xml:space="preserve">stigmatization of the poor as morally deficient creates the political conditions</w:t>
      </w:r>
      <w:r>
        <w:t xml:space="preserve"> </w:t>
      </w:r>
      <w:r>
        <w:t xml:space="preserve">that make state-organized, non-market-mediated redistribution institutionally</w:t>
      </w:r>
      <w:r>
        <w:t xml:space="preserve"> </w:t>
      </w:r>
      <w:r>
        <w:t xml:space="preserve">necessary and distinctive. I also contributed to collaborative work on tobacco</w:t>
      </w:r>
      <w:r>
        <w:t xml:space="preserve"> </w:t>
      </w:r>
      <w:r>
        <w:t xml:space="preserve">control policy evaluation using longitudinal administrative data (BMJ Open, 2019;</w:t>
      </w:r>
      <w:r>
        <w:t xml:space="preserve"> </w:t>
      </w:r>
      <w:r>
        <w:t xml:space="preserve">Health, 2019).</w:t>
      </w:r>
    </w:p>
    <w:p>
      <w:pPr>
        <w:pStyle w:val="BodyText"/>
      </w:pPr>
      <w:r>
        <w:t xml:space="preserve">The household-level causal analysis and the organizational ecology work share a</w:t>
      </w:r>
      <w:r>
        <w:t xml:space="preserve"> </w:t>
      </w:r>
      <w:r>
        <w:t xml:space="preserve">methodological gap. The dissertation establishes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policy achieves at the</w:t>
      </w:r>
      <w:r>
        <w:t xml:space="preserve"> </w:t>
      </w:r>
      <w:r>
        <w:t xml:space="preserve">household level. The organizational ecology work maps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implements it and</w:t>
      </w:r>
      <w:r>
        <w:t xml:space="preserve"> </w:t>
      </w:r>
      <w:r>
        <w:t xml:space="preserve">through which institutional channels. What neither can yet do — at the scale and</w:t>
      </w:r>
      <w:r>
        <w:t xml:space="preserve"> </w:t>
      </w:r>
      <w:r>
        <w:t xml:space="preserve">resolution required — is connect the two: to trace how variation in actor</w:t>
      </w:r>
      <w:r>
        <w:t xml:space="preserve"> </w:t>
      </w:r>
      <w:r>
        <w:t xml:space="preserve">participation structures, resource allocation logic, and implementation intensity</w:t>
      </w:r>
      <w:r>
        <w:t xml:space="preserve"> </w:t>
      </w:r>
      <w:r>
        <w:t xml:space="preserve">across thousands of counties produces the heterogeneous outcomes the regression</w:t>
      </w:r>
      <w:r>
        <w:t xml:space="preserve"> </w:t>
      </w:r>
      <w:r>
        <w:t xml:space="preserve">analysis reveals. This requires processing hundreds of thousands of policy</w:t>
      </w:r>
      <w:r>
        <w:t xml:space="preserve"> </w:t>
      </w:r>
      <w:r>
        <w:t xml:space="preserve">documents and organizational records. I spent twelve months at Apple’s Intelligence</w:t>
      </w:r>
      <w:r>
        <w:t xml:space="preserve"> </w:t>
      </w:r>
      <w:r>
        <w:t xml:space="preserve">platform building exactly this infrastructure.</w:t>
      </w:r>
    </w:p>
    <w:p>
      <w:pPr>
        <w:pStyle w:val="BodyText"/>
      </w:pPr>
      <w:r>
        <w:t xml:space="preserve">Working on production-scale NLP pipelines, retrieval-augmented generation</w:t>
      </w:r>
      <w:r>
        <w:t xml:space="preserve"> </w:t>
      </w:r>
      <w:r>
        <w:t xml:space="preserve">architectures, and large-scale knowledge integration systems gave me an engineer’s</w:t>
      </w:r>
      <w:r>
        <w:t xml:space="preserve"> </w:t>
      </w:r>
      <w:r>
        <w:t xml:space="preserve">understanding of how LLMs extract structured information from document corpora —</w:t>
      </w:r>
      <w:r>
        <w:t xml:space="preserve"> </w:t>
      </w:r>
      <w:r>
        <w:t xml:space="preserve">and, equally important, where they introduce systematic distortions that require</w:t>
      </w:r>
      <w:r>
        <w:t xml:space="preserve"> </w:t>
      </w:r>
      <w:r>
        <w:t xml:space="preserve">scholarly correction. Moving between research questions and engineering</w:t>
      </w:r>
      <w:r>
        <w:t xml:space="preserve"> </w:t>
      </w:r>
      <w:r>
        <w:t xml:space="preserve">implementation is not a detour; it is how I develop methods that are both</w:t>
      </w:r>
      <w:r>
        <w:t xml:space="preserve"> </w:t>
      </w:r>
      <w:r>
        <w:t xml:space="preserve">technically rigorous and analytically appropriate for governance research. Since</w:t>
      </w:r>
      <w:r>
        <w:t xml:space="preserve"> </w:t>
      </w:r>
      <w:r>
        <w:t xml:space="preserve">April 2026, I have continued this work at AOI, designing full-pipeline data</w:t>
      </w:r>
      <w:r>
        <w:t xml:space="preserve"> </w:t>
      </w:r>
      <w:r>
        <w:t xml:space="preserve">collection and analysis systems for large-scale structured data environments.</w:t>
      </w:r>
    </w:p>
    <w:p>
      <w:pPr>
        <w:pStyle w:val="BodyText"/>
      </w:pPr>
      <w:r>
        <w:t xml:space="preserve">The research agenda I bring to CCCW follows directly. My primary proposed project</w:t>
      </w:r>
      <w:r>
        <w:t xml:space="preserve"> </w:t>
      </w:r>
      <w:r>
        <w:t xml:space="preserve">uses LLM-powered document analysis to construct a comprehensive organizational</w:t>
      </w:r>
      <w:r>
        <w:t xml:space="preserve"> </w:t>
      </w:r>
      <w:r>
        <w:t xml:space="preserve">ecology database of China’s poverty alleviation implementation — tracking actor</w:t>
      </w:r>
      <w:r>
        <w:t xml:space="preserve"> </w:t>
      </w:r>
      <w:r>
        <w:t xml:space="preserve">participation, coordination logic, and resource flows across provinces and decades</w:t>
      </w:r>
      <w:r>
        <w:t xml:space="preserve"> </w:t>
      </w:r>
      <w:r>
        <w:t xml:space="preserve">— and uses this database to explain the heterogeneous household-level outcomes</w:t>
      </w:r>
      <w:r>
        <w:t xml:space="preserve"> </w:t>
      </w:r>
      <w:r>
        <w:t xml:space="preserve">my dissertation documents. This project speaks directly to Professor Li Cheng’s</w:t>
      </w:r>
      <w:r>
        <w:t xml:space="preserve"> </w:t>
      </w:r>
      <w:r>
        <w:t xml:space="preserve">program of research on Chinese political leadership and governance capacity: where</w:t>
      </w:r>
      <w:r>
        <w:t xml:space="preserve"> </w:t>
      </w:r>
      <w:r>
        <w:t xml:space="preserve">his work on elite politics and the</w:t>
      </w:r>
      <w:r>
        <w:t xml:space="preserve"> </w:t>
      </w:r>
      <w:r>
        <w:rPr>
          <w:i/>
          <w:iCs/>
        </w:rPr>
        <w:t xml:space="preserve">Chinese Politics in the Xi Jinping Era</w:t>
      </w:r>
      <w:r>
        <w:t xml:space="preserve"> </w:t>
      </w:r>
      <w:r>
        <w:t xml:space="preserve">examines</w:t>
      </w:r>
      <w:r>
        <w:t xml:space="preserve"> </w:t>
      </w:r>
      <w:r>
        <w:t xml:space="preserve">the leadership architecture of the party-state, my project examines how that</w:t>
      </w:r>
      <w:r>
        <w:t xml:space="preserve"> </w:t>
      </w:r>
      <w:r>
        <w:t xml:space="preserve">architecture translates into grassroots implementation outcomes — a micro-level</w:t>
      </w:r>
      <w:r>
        <w:t xml:space="preserve"> </w:t>
      </w:r>
      <w:r>
        <w:t xml:space="preserve">complement to CCCW’s macro-level leadership research. My JCC paper on middle-class perceptions of poverty also connects directly to</w:t>
      </w:r>
      <w:r>
        <w:t xml:space="preserve"> </w:t>
      </w:r>
      <w:r>
        <w:t xml:space="preserve">Professor Li’s work on the Chinese middle class and its political consequences.</w:t>
      </w:r>
    </w:p>
    <w:p>
      <w:pPr>
        <w:pStyle w:val="BodyText"/>
      </w:pPr>
      <w:r>
        <w:t xml:space="preserve">A second, more exploratory project examines whether and how China’s development</w:t>
      </w:r>
      <w:r>
        <w:t xml:space="preserve"> </w:t>
      </w:r>
      <w:r>
        <w:t xml:space="preserve">governance model — the organizational ecology framework constructed in Project One</w:t>
      </w:r>
      <w:r>
        <w:t xml:space="preserve"> </w:t>
      </w:r>
      <w:r>
        <w:t xml:space="preserve">— travels into ASEAN contexts through South-South cooperation and BRI channels.</w:t>
      </w:r>
      <w:r>
        <w:t xml:space="preserve"> </w:t>
      </w:r>
      <w:r>
        <w:t xml:space="preserve">The scope is deliberately bounded: the goal within the fellowship period is not a</w:t>
      </w:r>
      <w:r>
        <w:t xml:space="preserve"> </w:t>
      </w:r>
      <w:r>
        <w:t xml:space="preserve">fully comparative study but a conceptual mapping of the institutional mechanisms</w:t>
      </w:r>
      <w:r>
        <w:t xml:space="preserve"> </w:t>
      </w:r>
      <w:r>
        <w:t xml:space="preserve">through which Chinese governance knowledge is transmitted internationally, drawing</w:t>
      </w:r>
      <w:r>
        <w:t xml:space="preserve"> </w:t>
      </w:r>
      <w:r>
        <w:t xml:space="preserve">on publicly available policy documents and CCCW’s existing regional research</w:t>
      </w:r>
      <w:r>
        <w:t xml:space="preserve"> </w:t>
      </w:r>
      <w:r>
        <w:t xml:space="preserve">network. This positions the project as groundwork for future comparative research</w:t>
      </w:r>
      <w:r>
        <w:t xml:space="preserve"> </w:t>
      </w:r>
      <w:r>
        <w:t xml:space="preserve">rather than a standalone deliverable, and keeps the primary commitment where the</w:t>
      </w:r>
      <w:r>
        <w:t xml:space="preserve"> </w:t>
      </w:r>
      <w:r>
        <w:t xml:space="preserve">evidence base is strongest: on Project One.</w:t>
      </w:r>
    </w:p>
    <w:p>
      <w:pPr>
        <w:pStyle w:val="BodyText"/>
      </w:pPr>
      <w:r>
        <w:t xml:space="preserve">CCCW is the right institutional home for this work. Professor Li Cheng’s leadership</w:t>
      </w:r>
      <w:r>
        <w:t xml:space="preserve"> </w:t>
      </w:r>
      <w:r>
        <w:t xml:space="preserve">program, the Centre’s explicit investment in AI methods for social science, and Hong</w:t>
      </w:r>
      <w:r>
        <w:t xml:space="preserve"> </w:t>
      </w:r>
      <w:r>
        <w:t xml:space="preserve">Kong’s position as an analytical vantage point on mainland governance — embedded</w:t>
      </w:r>
      <w:r>
        <w:t xml:space="preserve"> </w:t>
      </w:r>
      <w:r>
        <w:t xml:space="preserve">enough to access the documentary record, distanced enough to interrogate it —</w:t>
      </w:r>
      <w:r>
        <w:t xml:space="preserve"> </w:t>
      </w:r>
      <w:r>
        <w:t xml:space="preserve">together provide an environment uniquely positioned to support the kind of work</w:t>
      </w:r>
      <w:r>
        <w:t xml:space="preserve"> </w:t>
      </w:r>
      <w:r>
        <w:t xml:space="preserve">I have described above. My connection to HKU is not new: I was selected for the</w:t>
      </w:r>
      <w:r>
        <w:t xml:space="preserve"> </w:t>
      </w:r>
      <w:r>
        <w:t xml:space="preserve">University of Hong Kong Young Scholars Forum in July 2019, an experience that first</w:t>
      </w:r>
      <w:r>
        <w:t xml:space="preserve"> </w:t>
      </w:r>
      <w:r>
        <w:t xml:space="preserve">oriented me toward Hong Kong as an intellectual home for China governance research.</w:t>
      </w:r>
      <w:r>
        <w:t xml:space="preserve"> </w:t>
      </w:r>
      <w:r>
        <w:t xml:space="preserve">I look forward to building on that connection as a member of the CCCW community.</w:t>
      </w:r>
    </w:p>
    <w:p>
      <w:r>
        <w:pict>
          <v:rect style="width:0;height:1.5pt" o:hralign="center" o:hrstd="t" o:hr="t"/>
        </w:pic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2026-05-07T15:14:06Z</dcterms:created>
  <dcterms:modified xsi:type="dcterms:W3CDTF">2026-05-07T15:14:06Z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