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twelve months of production-grade AI</w:t>
      </w:r>
      <w:r>
        <w:t xml:space="preserve"> </w:t>
      </w:r>
      <w:r>
        <w:t xml:space="preserve">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six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This is the first study to apply forward-looking vulnerability measurement to</w:t>
      </w:r>
      <w:r>
        <w:t xml:space="preserve"> </w:t>
      </w:r>
      <w:r>
        <w:t xml:space="preserve">a major CCP governance initiative using a causal identification strategy robust</w:t>
      </w:r>
      <w:r>
        <w:t xml:space="preserve"> </w:t>
      </w:r>
      <w:r>
        <w:t xml:space="preserve">to staggered treatment timing.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under revision for submission to</w:t>
      </w:r>
      <w:r>
        <w:t xml:space="preserve"> </w:t>
      </w:r>
      <w:r>
        <w:rPr>
          <w:i/>
          <w:iCs/>
        </w:rPr>
        <w:t xml:space="preserve">Journal of Chinese Governance</w:t>
      </w:r>
      <w:r>
        <w:t xml:space="preserve">, that</w:t>
      </w:r>
      <w:r>
        <w:t xml:space="preserve"> </w:t>
      </w:r>
      <w:r>
        <w:t xml:space="preserve">examines the organizational ecology of China’s poverty alleviation governance and</w:t>
      </w:r>
      <w:r>
        <w:t xml:space="preserve"> </w:t>
      </w:r>
      <w:r>
        <w:t xml:space="preserve">proposes the concept of a</w:t>
      </w:r>
      <w:r>
        <w:t xml:space="preserve"> </w:t>
      </w:r>
      <w:r>
        <w:t xml:space="preserve">“development governance knowledge system”</w:t>
      </w:r>
      <w:r>
        <w:t xml:space="preserve">: a distinctive</w:t>
      </w:r>
      <w:r>
        <w:t xml:space="preserve"> </w:t>
      </w:r>
      <w:r>
        <w:t xml:space="preserve">model of state-led multi-actor coordination — integrating government agencies,</w:t>
      </w:r>
      <w:r>
        <w:t xml:space="preserve"> </w:t>
      </w:r>
      <w:r>
        <w:t xml:space="preserve">universities, enterprises, and financial institutions — that departs structurally</w:t>
      </w:r>
      <w:r>
        <w:t xml:space="preserve"> </w:t>
      </w:r>
      <w:r>
        <w:t xml:space="preserve">from the NGO-driven, donor-dependent frameworks dominant in international</w:t>
      </w:r>
      <w:r>
        <w:t xml:space="preserve"> </w:t>
      </w:r>
      <w:r>
        <w:t xml:space="preserve">development research. A second working paper, in preparation for</w:t>
      </w:r>
      <w:r>
        <w:t xml:space="preserve"> </w:t>
      </w:r>
      <w:r>
        <w:rPr>
          <w:i/>
          <w:iCs/>
        </w:rPr>
        <w:t xml:space="preserve">China Quarterly</w:t>
      </w:r>
      <w:r>
        <w:t xml:space="preserve">,</w:t>
      </w:r>
      <w:r>
        <w:t xml:space="preserve"> </w:t>
      </w:r>
      <w:r>
        <w:t xml:space="preserve">extends this framework through text-as-data methods, developing a replicable</w:t>
      </w:r>
      <w:r>
        <w:t xml:space="preserve"> </w:t>
      </w:r>
      <w:r>
        <w:t xml:space="preserve">pipeline for computational analysis of Chinese governance documents at scale.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twelve months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2018,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2026-05-07T15:09:12Z</dcterms:created>
  <dcterms:modified xsi:type="dcterms:W3CDTF">2026-05-07T15:09:12Z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