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over two years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 project extends the organizational ecology framework into China’s</w:t>
      </w:r>
      <w:r>
        <w:t xml:space="preserve"> </w:t>
      </w:r>
      <w:r>
        <w:t xml:space="preserve">international development agenda. China’s Global Development Initiative and</w:t>
      </w:r>
      <w:r>
        <w:t xml:space="preserve"> </w:t>
      </w:r>
      <w:r>
        <w:t xml:space="preserve">South-South cooperation programs now actively promote its domestic poverty</w:t>
      </w:r>
      <w:r>
        <w:t xml:space="preserve"> </w:t>
      </w:r>
      <w:r>
        <w:t xml:space="preserve">governance model — including targeted poverty alleviation — to ASEAN partner</w:t>
      </w:r>
      <w:r>
        <w:t xml:space="preserve"> </w:t>
      </w:r>
      <w:r>
        <w:t xml:space="preserve">states through training programs, bilateral agreements, and BRI project governance</w:t>
      </w:r>
      <w:r>
        <w:t xml:space="preserve"> </w:t>
      </w:r>
      <w:r>
        <w:t xml:space="preserve">structures. Yet systematic evidence of how this promotion actually works is thin,</w:t>
      </w:r>
      <w:r>
        <w:t xml:space="preserve"> </w:t>
      </w:r>
      <w:r>
        <w:t xml:space="preserve">and the field lacks any large-scale documentary analysis of which Chinese state</w:t>
      </w:r>
      <w:r>
        <w:t xml:space="preserve"> </w:t>
      </w:r>
      <w:r>
        <w:t xml:space="preserve">actors drive the process and whether their governance frames are coherent or</w:t>
      </w:r>
      <w:r>
        <w:t xml:space="preserve"> </w:t>
      </w:r>
      <w:r>
        <w:t xml:space="preserve">fragmented across bureaucratic sources. Drawing on public document corpora — MFA</w:t>
      </w:r>
      <w:r>
        <w:t xml:space="preserve"> </w:t>
      </w:r>
      <w:r>
        <w:t xml:space="preserve">readouts, MOFCOM cooperation agreements, GDI training materials, and bilateral</w:t>
      </w:r>
      <w:r>
        <w:t xml:space="preserve"> </w:t>
      </w:r>
      <w:r>
        <w:t xml:space="preserve">agreement texts from Cambodia, Laos, Myanmar, and Vietnam — I will apply</w:t>
      </w:r>
      <w:r>
        <w:t xml:space="preserve"> </w:t>
      </w:r>
      <w:r>
        <w:t xml:space="preserve">LLM-based frame extraction and agency-labeled document classification to map</w:t>
      </w:r>
      <w:r>
        <w:t xml:space="preserve"> </w:t>
      </w:r>
      <w:r>
        <w:t xml:space="preserve">whether and how the organizational logic of China’s domestic poverty governance</w:t>
      </w:r>
      <w:r>
        <w:t xml:space="preserve"> </w:t>
      </w:r>
      <w:r>
        <w:t xml:space="preserve">travels internationally, and where it diverges across bureaucratic actors. This</w:t>
      </w:r>
      <w:r>
        <w:t xml:space="preserve"> </w:t>
      </w:r>
      <w:r>
        <w:t xml:space="preserve">project speaks directly to the field’s central unresolved question — whether China</w:t>
      </w:r>
      <w:r>
        <w:t xml:space="preserve"> </w:t>
      </w:r>
      <w:r>
        <w:t xml:space="preserve">exports governance institutions or merely infrastructure — and produces a</w:t>
      </w:r>
      <w:r>
        <w:t xml:space="preserve"> </w:t>
      </w:r>
      <w:r>
        <w:t xml:space="preserve">methodologically distinctive answer grounded in documentary evidence rather than</w:t>
      </w:r>
      <w:r>
        <w:t xml:space="preserve"> </w:t>
      </w:r>
      <w:r>
        <w:t xml:space="preserve">case inference. CCCW’s regional research network and Hong Kong’s access to both</w:t>
      </w:r>
      <w:r>
        <w:t xml:space="preserve"> </w:t>
      </w:r>
      <w:r>
        <w:t xml:space="preserve">mainland documentary sources and ASEAN policy communities make it the ideal base</w:t>
      </w:r>
      <w:r>
        <w:t xml:space="preserve"> </w:t>
      </w:r>
      <w:r>
        <w:t xml:space="preserve">for this work.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bring to CCCW not only a research program but a functional data infrastructure —</w:t>
      </w:r>
      <w:r>
        <w:t xml:space="preserve"> </w:t>
      </w:r>
      <w:r>
        <w:t xml:space="preserve">two original databases, a replicable computational pipeline, and production-grade</w:t>
      </w:r>
      <w:r>
        <w:t xml:space="preserve"> </w:t>
      </w:r>
      <w:r>
        <w:t xml:space="preserve">AI engineering experience — ready to extend from domestic governance into the</w:t>
      </w:r>
      <w:r>
        <w:t xml:space="preserve"> </w:t>
      </w:r>
      <w:r>
        <w:t xml:space="preserve">international development agenda that defines CCCW’s next research frontier.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2026-05-08T18:05:39Z</dcterms:created>
  <dcterms:modified xsi:type="dcterms:W3CDTF">2026-05-08T18:05:39Z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