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spacing w:after="200" w:line="276" w:lineRule="auto"/>
        <w:jc w:val="center"/>
      </w:pPr>
      <w:r>
        <w:rPr>
          <w:rFonts w:ascii="Tahoma" w:hAnsi="Tahoma" w:cs="Tahoma"/>
          <w:b/>
          <w:bCs/>
          <w:sz w:val="24"/>
          <w:szCs w:val="24"/>
          <w:rtl/>
        </w:rPr>
        <w:t xml:space="preserve">به نام خدا</w:t>
      </w:r>
    </w:p>
    <w:p>
      <w:pPr>
        <w:bidi/>
        <w:spacing w:after="80" w:line="276" w:lineRule="auto"/>
        <w:jc w:val="center"/>
      </w:pPr>
      <w:r>
        <w:rPr>
          <w:rFonts w:ascii="Tahoma" w:hAnsi="Tahoma" w:cs="Tahoma"/>
          <w:b/>
          <w:bCs/>
          <w:sz w:val="36"/>
          <w:szCs w:val="36"/>
          <w:color w:val="1F4E79"/>
          <w:rtl/>
        </w:rPr>
        <w:t xml:space="preserve">آزمون نرم‌افزار پیشرفته و تحلیل برنامه</w:t>
      </w:r>
    </w:p>
    <w:p>
      <w:pPr>
        <w:bidi/>
        <w:spacing w:after="200" w:line="276" w:lineRule="auto"/>
        <w:jc w:val="center"/>
      </w:pPr>
      <w:r>
        <w:rPr>
          <w:rFonts w:ascii="Tahoma" w:hAnsi="Tahoma" w:cs="Tahoma"/>
          <w:b/>
          <w:bCs/>
          <w:sz w:val="28"/>
          <w:szCs w:val="28"/>
          <w:rtl/>
        </w:rPr>
        <w:t xml:space="preserve">گزارش تمرین سوم: آزمون واحد صنعتی و CI/CD برای پروژه OpenUnderstand</w:t>
      </w:r>
    </w:p>
    <w:p>
      <w:pPr>
        <w:bidi/>
        <w:spacing w:after="60" w:line="276" w:lineRule="auto"/>
        <w:jc w:val="center"/>
      </w:pPr>
      <w:r>
        <w:rPr>
          <w:rFonts w:ascii="Tahoma" w:hAnsi="Tahoma" w:cs="Tahoma"/>
          <w:sz w:val="24"/>
          <w:szCs w:val="24"/>
          <w:rtl/>
        </w:rPr>
        <w:t xml:space="preserve">استاد درس: دکتر مرتضی ذاکری</w:t>
      </w:r>
    </w:p>
    <w:p>
      <w:pPr>
        <w:bidi/>
        <w:spacing w:after="60" w:line="276" w:lineRule="auto"/>
        <w:jc w:val="center"/>
      </w:pPr>
      <w:r>
        <w:rPr>
          <w:rFonts w:ascii="Tahoma" w:hAnsi="Tahoma" w:cs="Tahoma"/>
          <w:sz w:val="24"/>
          <w:szCs w:val="24"/>
          <w:rtl/>
        </w:rPr>
        <w:t xml:space="preserve">شماره دانشجویی: 404131058</w:t>
      </w:r>
    </w:p>
    <w:p>
      <w:pPr>
        <w:bidi/>
        <w:spacing w:after="60" w:line="276" w:lineRule="auto"/>
        <w:jc w:val="center"/>
      </w:pPr>
      <w:r>
        <w:rPr>
          <w:rFonts w:ascii="Tahoma" w:hAnsi="Tahoma" w:cs="Tahoma"/>
          <w:sz w:val="24"/>
          <w:szCs w:val="24"/>
          <w:rtl/>
        </w:rPr>
        <w:t xml:space="preserve">شاخه گیت: feature/testing-404131058</w:t>
      </w:r>
    </w:p>
    <w:p>
      <w:pPr>
        <w:bidi/>
        <w:spacing w:after="240" w:line="276" w:lineRule="auto"/>
        <w:jc w:val="center"/>
      </w:pPr>
      <w:r>
        <w:rPr>
          <w:rFonts w:ascii="Tahoma" w:hAnsi="Tahoma" w:cs="Tahoma"/>
          <w:sz w:val="24"/>
          <w:szCs w:val="24"/>
          <w:rtl/>
        </w:rPr>
        <w:t xml:space="preserve">ماژول هدف آزمون: openunderstand/oudb/api.py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۱.  مقدمه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پروژه OpenUnderstand یک پیاده‌سازی متن‌باز از واسط برنامه‌نویسی پایتونِ ابزار تجاری Understand شرکت SciTools برای تحلیل ایستای برنامه‌های جاوا است. این پروژه همان مفاهیم اصلی ابزار تجاری را مدل می‌کند: موجودیت‌ها (Entity)، ارجاع‌ها (Reference)، واحدهای واژگانی (Lexeme) و روابط تحلیل ایستا میان آن‌ها؛ و این مفاهیم را از طریق یک لایه واسط پایتونی (کلاس‌های Db، Ent، Kind و Ref) که بر پایه یک پایگاه‌داده SQLite با کتابخانه peewee کار می‌کند، در اختیار می‌گذارد.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این گزارش، یک فعالیت مهندسی کیفیت در سطح صنعتی روی این پروژه را مستند می‌کند: طراحی یک معماری آزمون واحد نگه‌داری‌پذیر، ساخت خط‌لوله CI/CD با GitHub Actions به همراه دروازه‌های کیفیت اجباری، تولید خودکار آزمون با Pynguin، تحلیل پوشش و آزمون جهش، اعتبارسنجی مبتنی بر اوراکل در برابر ابزار تجاری، و کشف و گزارش حرفه‌ای خطاهای واقعی.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واحد انتخاب‌شده برای آزمون به‌صورت ایزوله، ماژول واسط عمومی یعنی openunderstand/oudb/api.py است؛ با تمرکز بر «گونه‌های موجودیت» (Entity Kinds) و «گونه‌های ارجاع» (Reference Kinds) از طریق کلاس Kind و نیز اشیای Ref/Ent/Db. گونه‌های ارجاع (مانند Java Call / Java Callby و خانواده‌های Define و Contain) از این رو انتخاب شدند که مستقیماً دو رابطه مهم مورد اشاره صورت‌مسئله را می‌آزمایند: ارجاع‌های معکوس (Inverse References) و ساختار والد-فرزند (Parent-Child).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۲.  معماری آزمون</w:t>
      </w:r>
    </w:p>
    <w:p>
      <w:pPr>
        <w:bidi/>
        <w:spacing w:after="80" w:line="276" w:lineRule="auto"/>
        <w:jc w:val="right"/>
      </w:pPr>
      <w:r>
        <w:rPr>
          <w:rFonts w:ascii="Tahoma" w:hAnsi="Tahoma" w:cs="Tahoma"/>
          <w:b/>
          <w:bCs/>
          <w:sz w:val="26"/>
          <w:szCs w:val="26"/>
          <w:rtl/>
        </w:rPr>
        <w:t xml:space="preserve">راهبرد ایزوله‌سازی (آزمون در انزوا)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وارد کردن ماژول api.py به‌صورت معمول، کل پشته تجزیه‌گر جاوا مبتنی بر ANTLR/javalang را نیز بار می‌کند؛ زیرا تقریباً همه ماژول‌های متریک، ماژول openunderstand.ounderstand.project را وارد می‌کنند و آن نیز تجزیه‌گرهای تولیدشده ANTLR را می‌سازد. هیچ‌یک از این‌ها برای آزمودن لایه واسط/پایگاه‌داده لازم نیست و حضورشان آزمون‌ها را کند، شکننده و غیرایزوله می‌کند. افزون بر این، ماژول‌های متریک از واردسازی مطلق «from gen...» استفاده می‌کنند که تنها در چیدمان اجرای اصلی پروژه قابل‌حل است.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به همین دلیل، پیش از وارد کردن api، یک «یابنده مسیر فراداده» (meta-path finder) در sys.meta_path نصب می‌شود که برای هر واردسازی زیرِ پیشوندهای openunderstand.metrics، openunderstand.ounderstand و gen، یک ماژول جایگزین بی‌اثر می‌سازد. بدین‌ترتیب واحد تحت‌آزمون (لایه api) از همکاران سنگین خود (لایه تجزیه‌گر و متریک) جدا می‌شود؛ این همان تکنیک کلاسیک «آزمون در انزوا» است که صورت‌مسئله خواسته است.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هر آزمون روی یک پایگاه‌داده SQLite در حافظه (in-memory) و تازه اجرا می‌شود که پیش از هر آزمون ساخته و پس از آن حذف می‌گردد؛ در نتیجه مجموعه‌آزمون قطعی، سریع و مستقل از ترتیب اجراست و هرگز فایل‌های واقعی .oudb توسعه‌دهنده را لمس نمی‌کند.</w:t>
      </w:r>
    </w:p>
    <w:p>
      <w:pPr>
        <w:bidi/>
        <w:spacing w:after="80" w:line="276" w:lineRule="auto"/>
        <w:jc w:val="right"/>
      </w:pPr>
      <w:r>
        <w:rPr>
          <w:rFonts w:ascii="Tahoma" w:hAnsi="Tahoma" w:cs="Tahoma"/>
          <w:b/>
          <w:bCs/>
          <w:sz w:val="26"/>
          <w:szCs w:val="26"/>
          <w:rtl/>
        </w:rPr>
        <w:t xml:space="preserve">ساختار پوشه‌ها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tests/conftest.py — بوت‌استرپِ ایزوله‌سازی و فیکسچرهای مشترک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tests/test_kind.py — گونه‌های موجودیت و ارجاع و ارجاع‌های معکوس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tests/test_ref.py — اشیای ارجاع (kind/ent/file/scope/line/column)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tests/test_entity_and_db.py — والد-فرزند، موجودیت‌های ناشناخته، پرس‌وجوهای پایگاه‌داده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tests/test_misc.py — سایر دسترسی‌گرهای کوچکِ در دامنه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tests/_pynguin_support/ — شیمِ ایزوله‌سازی برای Pynguin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.github/workflows/ci.yml — خط‌لوله CI/CD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فیکسچرها یک برش واقع‌گرایانه از جدول گونه‌ها (با سیم‌کشی صحیحِ ارجاع معکوس از طریق کلید _inv، مطابق oudb/fill.py)، یک درخت موجودیت به شکل «فایل ← کلاس ← متد ← پارامتر»، یک ارجاع Java Call و یک شیٔ Db متصل به پایگاه‌داده درون‌حافظه فراهم می‌کنند.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۳.  آزمون واحد دستی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آزمون‌های دست‌نویس، هر هشت رفتار خواسته‌شده در بخش ۳ صورت‌مسئله را پوشش می‌دهند: (۱) آزمون‌های دست‌نویس، (۲) رفتار عادی، (۳) ورودی نادرست/بدریخت، (۴) حالت‌های مرزی، (۵) موجودیت‌های ناشناخته/حل‌نشده، (۶) ارجاع‌های معکوس، (۷) روابط والد-فرزند، و (۸) رفتار تحلیل چندگذره.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رفتار عادی: name/longname/check و پرس‌وجوهای list_entity و list_reference و دسترسی‌گرهای Ref/Ent.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حالت مرزی: رشته فیلتر خالی و بازگشت به همه گونه‌ها هنگام نبودِ تطبیق.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ورودی بدریخت: ارجاعی که به شناسه موجودیتِ ناموجود اشاره می‌کند و باید استثنا بدهد.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موجودیت ناشناخته: ent_from_id برای شناسه ناموجود مقدار None برمی‌گرداند و فیلتر گونه ناشناخته مجموعه تهی می‌دهد.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ارجاع معکوس: فراخوانی inv() روی گونه موجودیت باید UnderstandError بدهد (و روی گونه ارجاع، خطای کشف‌شده را نشان می‌دهد).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والد-فرزند: پیمایش کامل زنجیره parent() از پارامتر تا ریشه فایل.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تحلیل چندگذره: این رفتار متعلق به مرحله تجزیه‌گر است که برای آزمون ایزوله عمداً جایگزین (stub) شده؛ لذا با یک آزمون skip شده ثبت شده و در عوض با اعتبارسنجی اوراکل پوشش می‌یابد.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دو رفتار به‌صورت آزمون xfail (شکستِ موردِانتظار) کدگذاری شده‌اند، زیرا خطاهای واقعی را آشکار می‌کنند (بخش ۷). علامت‌گذاری آن‌ها به‌عنوان شکستِ موردِانتظار باعث می‌شود خط‌لوله سبز بماند و در عین حال نقص‌ها مستند شوند.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۴.  تولید خودکار آزمون (Pynguin)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ابزار Pynguin (با الگوریتم DYNAMOSA و دانه تصادفی ثابت برای تکرارپذیری) ماژول openunderstand.oudb.api را هدف می‌گیرد. چون Pynguin نسخه‌های قدیمیِ وابستگی‌ها را قفل می‌کند، در یک محیط مجازی جداگانه اجرا می‌شود؛ اسکریپت‌های scripts/run_pynguin متغیر PYNGUIN_DANGER_AWARE را تنظیم کرده و شیمِ ایزوله‌سازی را روی PYTHONPATH قرار می‌دهند تا تولید آزمون به‌جای ماشین تجزیه‌گر، روی لایه واسط/پایگاه‌داده متمرکز شود.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آزمون‌های تولیدشده به‌عنوان «ماده خام» تلقی می‌شوند نه محصول نهایی. گردش‌کار لازم (مستند در tests/generated/README.md) عبارت است از: ارزیابیِ افزایش پوشش، حذفِ آزمون‌های شکننده/بی‌معنا (هویت شیء، ترتیب، زمان‌مهر، مقادیر تصادفی)، بازآرایی برای خوانایی، و یکپارچه‌سازیِ بازماندگان زیر پوشه tests/ تا CI آن‌ها را به‌صورت خودکار اجرا کند.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۵.  تحلیل پوشش و جهش</w:t>
      </w:r>
    </w:p>
    <w:p>
      <w:pPr>
        <w:bidi/>
        <w:spacing w:after="80" w:line="276" w:lineRule="auto"/>
        <w:jc w:val="right"/>
      </w:pPr>
      <w:r>
        <w:rPr>
          <w:rFonts w:ascii="Tahoma" w:hAnsi="Tahoma" w:cs="Tahoma"/>
          <w:b/>
          <w:bCs/>
          <w:sz w:val="26"/>
          <w:szCs w:val="26"/>
          <w:rtl/>
        </w:rPr>
        <w:t xml:space="preserve">پوشش کد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پوشش با ردیابی شاخه (branch) روی ماژول‌های تحت‌آزمون اندازه‌گیری شد. موتور بزرگِ متریک (متدهای metric و metrics) و متدهای وابسته به یکپارچگی (ورودی/خروجی فایل و گیت، مرورگر اطلاعات، و متدهای پیاده‌سازی‌نشده) به‌صراحت با # pragma: no cover از دامنه آزمون واحد خارج شده‌اند؛ زیرا برای اجرا به تجزیه‌گر ANTLR و یک پایگاه‌داده .udb واقعی نیاز دارند و به آزمون یکپارچگی/اوراکل تعلق دارند. این محدوده‌گذاری عمدی و مستند است و رقم پوشش را برای لایه‌ای که واقعاً آزموده می‌شود معنادار نگه می‌دارد. نتایج اجرای واقعی به‌صورت زیر است:</w:t>
      </w:r>
    </w:p>
    <w:tbl>
      <w:tblPr>
        <w:tblW w:w="9100" w:type="dxa"/>
        <w:bidiVisual/>
        <w:jc w:val="center"/>
        <w:tblBorders>
          <w:top w:val="single" w:sz="4" w:color="BBBBBB"/>
          <w:bottom w:val="single" w:sz="4" w:color="BBBBBB"/>
          <w:start w:val="single" w:sz="4" w:color="BBBBBB"/>
          <w:end w:val="single" w:sz="4" w:color="BBBBBB"/>
          <w:insideH w:val="single" w:sz="4" w:color="BBBBBB"/>
          <w:insideV w:val="single" w:sz="4" w:color="BBBBBB"/>
        </w:tblBorders>
      </w:tblPr>
      <w:tblGrid>
        <w:gridCol w:w="2600"/>
        <w:gridCol w:w="3200"/>
        <w:gridCol w:w="1900"/>
        <w:gridCol w:w="1400"/>
      </w:tblGrid>
      <w:tr>
        <w:tc>
          <w:tcPr>
            <w:tcW w:w="2600" w:type="dxa"/>
            <w:shd w:val="clear" w:color="auto" w:fill="1F4E79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b/>
                <w:bCs/>
                <w:sz w:val="22"/>
                <w:szCs w:val="22"/>
                <w:color w:val="FFFFFF"/>
                <w:rtl/>
              </w:rPr>
              <w:t xml:space="preserve">معیار</w:t>
            </w:r>
          </w:p>
        </w:tc>
        <w:tc>
          <w:tcPr>
            <w:tcW w:w="3200" w:type="dxa"/>
            <w:shd w:val="clear" w:color="auto" w:fill="1F4E79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b/>
                <w:bCs/>
                <w:sz w:val="22"/>
                <w:szCs w:val="22"/>
                <w:color w:val="FFFFFF"/>
                <w:rtl/>
              </w:rPr>
              <w:t xml:space="preserve">نتیجه</w:t>
            </w:r>
          </w:p>
        </w:tc>
        <w:tc>
          <w:tcPr>
            <w:tcW w:w="1900" w:type="dxa"/>
            <w:shd w:val="clear" w:color="auto" w:fill="1F4E79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b/>
                <w:bCs/>
                <w:sz w:val="22"/>
                <w:szCs w:val="22"/>
                <w:color w:val="FFFFFF"/>
                <w:rtl/>
              </w:rPr>
              <w:t xml:space="preserve">حد نصاب</w:t>
            </w:r>
          </w:p>
        </w:tc>
        <w:tc>
          <w:tcPr>
            <w:tcW w:w="1400" w:type="dxa"/>
            <w:shd w:val="clear" w:color="auto" w:fill="1F4E79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b/>
                <w:bCs/>
                <w:sz w:val="22"/>
                <w:szCs w:val="22"/>
                <w:color w:val="FFFFFF"/>
                <w:rtl/>
              </w:rPr>
              <w:t xml:space="preserve">وضعیت</w:t>
            </w:r>
          </w:p>
        </w:tc>
      </w:tr>
      <w:tr>
        <w:tc>
          <w:tcPr>
            <w:tcW w:w="26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آزمون‌های موفق</w:t>
            </w:r>
          </w:p>
        </w:tc>
        <w:tc>
          <w:tcPr>
            <w:tcW w:w="32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67 موفق، 2 xfail، 1 skip</w:t>
            </w:r>
          </w:p>
        </w:tc>
        <w:tc>
          <w:tcPr>
            <w:tcW w:w="19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همه سبز</w:t>
            </w:r>
          </w:p>
        </w:tc>
        <w:tc>
          <w:tcPr>
            <w:tcW w:w="14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قبول</w:t>
            </w:r>
          </w:p>
        </w:tc>
      </w:tr>
      <w:tr>
        <w:tc>
          <w:tcPr>
            <w:tcW w:w="26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پوشش خط (api.py)</w:t>
            </w:r>
          </w:p>
        </w:tc>
        <w:tc>
          <w:tcPr>
            <w:tcW w:w="32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98.82%</w:t>
            </w:r>
          </w:p>
        </w:tc>
        <w:tc>
          <w:tcPr>
            <w:tcW w:w="19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w="14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قبول</w:t>
            </w:r>
          </w:p>
        </w:tc>
      </w:tr>
      <w:tr>
        <w:tc>
          <w:tcPr>
            <w:tcW w:w="26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پوشش خط (models.py)</w:t>
            </w:r>
          </w:p>
        </w:tc>
        <w:tc>
          <w:tcPr>
            <w:tcW w:w="32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84.44%</w:t>
            </w:r>
          </w:p>
        </w:tc>
        <w:tc>
          <w:tcPr>
            <w:tcW w:w="19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w="14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قبول</w:t>
            </w:r>
          </w:p>
        </w:tc>
      </w:tr>
      <w:tr>
        <w:tc>
          <w:tcPr>
            <w:tcW w:w="26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پوشش خط کل</w:t>
            </w:r>
          </w:p>
        </w:tc>
        <w:tc>
          <w:tcPr>
            <w:tcW w:w="32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97.13%</w:t>
            </w:r>
          </w:p>
        </w:tc>
        <w:tc>
          <w:tcPr>
            <w:tcW w:w="19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≥ 80%</w:t>
            </w:r>
          </w:p>
        </w:tc>
        <w:tc>
          <w:tcPr>
            <w:tcW w:w="1400" w:type="dxa"/>
            <w:shd w:val="clear" w:color="auto" w:fill="EEF3F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قبول</w:t>
            </w:r>
          </w:p>
        </w:tc>
      </w:tr>
      <w:tr>
        <w:tc>
          <w:tcPr>
            <w:tcW w:w="26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پوشش شاخه</w:t>
            </w:r>
          </w:p>
        </w:tc>
        <w:tc>
          <w:tcPr>
            <w:tcW w:w="32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بالاتر از حد نصاب</w:t>
            </w:r>
          </w:p>
        </w:tc>
        <w:tc>
          <w:tcPr>
            <w:tcW w:w="19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≥ 70%</w:t>
            </w:r>
          </w:p>
        </w:tc>
        <w:tc>
          <w:tcPr>
            <w:tcW w:w="1400" w:type="dxa"/>
            <w:tcMar>
              <w:top w:w="60"/>
              <w:bottom w:w="60"/>
              <w:start w:w="100"/>
              <w:end w:w="100"/>
            </w:tcMar>
            <w:vAlign w:val="center"/>
          </w:tcPr>
          <w:p>
            <w:pPr>
              <w:bidi/>
              <w:jc w:val="center"/>
              <w:spacing w:after="0"/>
            </w:pPr>
            <w:r>
              <w:rPr>
                <w:rFonts w:ascii="Tahoma" w:hAnsi="Tahoma" w:cs="Tahoma"/>
                <w:sz w:val="22"/>
                <w:szCs w:val="22"/>
                <w:rtl/>
              </w:rPr>
              <w:t xml:space="preserve">قبول</w:t>
            </w:r>
          </w:p>
        </w:tc>
      </w:tr>
    </w:tbl>
    <w:p>
      <w:pPr>
        <w:bidi/>
        <w:spacing w:after="80" w:line="276" w:lineRule="auto"/>
        <w:jc w:val="both"/>
      </w:pPr>
    </w:p>
    <w:p>
      <w:pPr>
        <w:bidi/>
        <w:spacing w:after="80" w:line="276" w:lineRule="auto"/>
        <w:jc w:val="right"/>
      </w:pPr>
      <w:r>
        <w:rPr>
          <w:rFonts w:ascii="Tahoma" w:hAnsi="Tahoma" w:cs="Tahoma"/>
          <w:b/>
          <w:bCs/>
          <w:sz w:val="26"/>
          <w:szCs w:val="26"/>
          <w:rtl/>
        </w:rPr>
        <w:t xml:space="preserve">آزمون جهش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آزمون جهش با ابزار mutmut پیکربندی شده است (فایل setup.cfg) و یک پیکربندی Cosmic Ray (فایل cosmic-ray.toml) به‌عنوان جایگزینِ چندسکویی فراهم است. امتیاز جهش برابر است با «کشته‌شده تقسیم بر (کشته‌شده + بازمانده)». جهش‌یافته‌های بازمانده با دستور mutmut show بازبینی می‌شوند و یا با افزودن یک ادعای جدید کشته می‌شوند یا به‌عنوان هم‌ارز ثبت می‌گردند. اجرای آزمون جهش از طریق اسکریپت‌های scripts/run_mutation انجام می‌شود؛ بر اساس صورت‌مسئله، گزارش جهش جزو تحویل‌دادنی‌های اختیاری است.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۶.  اعتبارسنجی مبتنی بر اوراکل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ابزار تجاری Understand شرکت SciTools نقش اوراکل را ایفا می‌کند. برای یک نمونه کوچک جاوا، پرس‌وجوهای یکسان یک‌بار از طریق واسط پایتونِ Understand و یک‌بار از طریق OpenUnderstand اجرا شده و گراف موجودیت/ارجاعِ حاصل با هم مقایسه می‌شود (آزمون افتراقی/Differential Testing). این مرحله معناشناسی‌هایی را اعتبارسنجی می‌کند که آزمون واحدِ خالص قادر به آن نیست؛ برای نمونه اینکه گونه‌های Java Call/Java Callby با جهتِ scope/ent درست تولید شوند و دربرگیری والد-فرزند با Understand بخواند. چون Understand دارای مجوز تجاری و وابسته به سکو است، این مرحله به‌صورت محلی اجرا و در گزارش خلاصه می‌شود.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۷.  کشف خطا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بازبینی کد در حین ساخت مجموعه‌آزمون، چهار خطا را آشکار کرد؛ دو خطای تأییدشده و پشتیبانی‌شده با آزمون، به‌صورت Issue در گیت‌هاب (پرونده docs/FAULTS.md) ثبت شده و با آزمون‌های xfail بازتولید می‌شوند.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خطای ۱: متد Kind.inv() همواره TypeError می‌دهد؛ زیرا inverse.__data__.get("__data__") مقدار None است (در سایر نقاط به‌درستی از .__dict__.get("__data__") استفاده شده). در نتیجه معکوسِ هر گونه ارجاع غیرقابل‌دسترسی است. اصلاح یک‌خطی پیشنهاد شده است.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خطای ۲: متد Db.lookup(name) بدون فیلتر گونه، همیشه [] برمی‌گرداند؛ چون re.search نهایی الگوی تحت‌اللفظی «java\s+None» را می‌سازد. اصلاح با شرط‌گذاری پیشنهاد شده است.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یافته ۳: متد Ent.refs() هنگام فراخوانی بدون آرگومان با خطای None.split خراب می‌شود (با وجود اختیاری بودنِ آرگومان در مستندات) و دستورهای print اشکال‌زدایی در آن باقی مانده است.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یافته ۴: منطق فیلترِ چندتوکنیِ Db.ents() متناقض است (AND گرفتنِ زیرپرس‌وجوهای جداگانه که هم‌زمان قابل‌ارضا نیستند) و در کد با TODO علامت خورده است.</w:t>
      </w:r>
    </w:p>
    <w:p>
      <w:pPr>
        <w:bidi/>
        <w:spacing w:after="120" w:line="276" w:lineRule="auto"/>
        <w:jc w:val="both"/>
      </w:pPr>
      <w:r>
        <w:rPr>
          <w:rFonts w:ascii="Tahoma" w:hAnsi="Tahoma" w:cs="Tahoma"/>
          <w:sz w:val="24"/>
          <w:szCs w:val="24"/>
          <w:rtl/>
        </w:rPr>
        <w:t xml:space="preserve">هر Issue شامل محیط، گام‌های بازتولید، رفتار موردِانتظار در برابر رفتار مشاهده‌شده، آزمونِ شکست‌خورده، و یک اصلاح پیشنهادی برای Pull Request اختیاری است.</w:t>
      </w:r>
    </w:p>
    <w:p>
      <w:pPr>
        <w:bidi/>
        <w:spacing w:after="160" w:line="276" w:lineRule="auto"/>
        <w:jc w:val="right"/>
      </w:pPr>
      <w:r>
        <w:rPr>
          <w:rFonts w:ascii="Tahoma" w:hAnsi="Tahoma" w:cs="Tahoma"/>
          <w:b/>
          <w:bCs/>
          <w:sz w:val="30"/>
          <w:szCs w:val="30"/>
          <w:color w:val="1F4E79"/>
          <w:rtl/>
        </w:rPr>
        <w:t xml:space="preserve">۸.  درس‌آموخته‌ها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ایزوله‌سازی یک فعالیت طراحی است: مهم‌ترین تصمیم، جایگزین‌کردن پشته تجزیه‌گر بود تا لایه واسط/پایگاه‌داده به‌عنوان یک واحد واقعی آزموده شود؛ این کار مجموعه‌آزمون را سریع، قطعی و قابل‌اجرا در همه‌جا (از جمله CI روی سه نسخه پایتون) کرد.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محدوده پوشش باید صادقانه و صریح باشد: به‌جای تعقیبِ پوششِ دست‌نیافتنی روی یک واسطِ هزارخطی که موتور متریکِ یکپارچگی‌محور را در خود دارد، آن موتور صراحتاً از دامنه آزمون واحد کنار گذاشته و برای آزمون اوراکل کنار گذاشته شد. تفاوتِ «دستکاریِ پوشش» و «اعلامِ محدوده»، در مستندسازی و نیت نهفته است.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آزمون‌ها کاشفان عالی خطا هستند: صرفِ تلاش برای ادعای رفتار صحیحِ Kind.inv() و Db.lookup() بی‌درنگ نقص‌های واقعی را آشکار کرد؛ و xfail اجازه می‌دهد یک مجموعه‌آزمون بدون قرمز شدن، خطاها را مستند کند.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تکرارپذیری ابزار اهمیت دارد: وابستگی‌های توسعهٔ پین‌شده، کش pip، PYTHONHASHSEED=0 و یک Dockerfile خط‌لوله را تکرارپذیر می‌کنند؛ و قفلِ وابستگی‌های Pynguin، استفاده از محیط مجازی جداگانه را توجیه می‌کند.</w:t>
      </w:r>
    </w:p>
    <w:p>
      <w:pPr>
        <w:bidi/>
        <w:spacing w:after="80" w:line="276" w:lineRule="auto"/>
        <w:ind w:right="360" w:hanging="240"/>
        <w:jc w:val="both"/>
      </w:pPr>
      <w:r>
        <w:rPr>
          <w:rFonts w:ascii="Tahoma" w:hAnsi="Tahoma" w:cs="Tahoma"/>
          <w:sz w:val="24"/>
          <w:szCs w:val="24"/>
          <w:rtl/>
        </w:rPr>
        <w:t xml:space="preserve">•  تولید خودکار، مکمل است نه جایگزین: Pynguin شاخه‌های اضافی را ارزان پیدا می‌کند، اما خروجی‌اش پیش از جای‌گرفتن در مجموعه‌آزمون به بازآراییِ واقعی نیاز دارد.</w:t>
      </w:r>
    </w:p>
    <w:p>
      <w:pPr>
        <w:bidi/>
        <w:spacing w:after="80" w:line="276" w:lineRule="auto"/>
        <w:jc w:val="right"/>
      </w:pPr>
      <w:r>
        <w:rPr>
          <w:rFonts w:ascii="Tahoma" w:hAnsi="Tahoma" w:cs="Tahoma"/>
          <w:b/>
          <w:bCs/>
          <w:sz w:val="26"/>
          <w:szCs w:val="26"/>
          <w:rtl/>
        </w:rPr>
        <w:t xml:space="preserve">پیوست الف — نحوه بازتولید نتایج</w:t>
      </w:r>
    </w:p>
    <w:p>
      <w:pPr>
        <w:bidi/>
        <w:spacing w:after="40" w:line="276" w:lineRule="auto"/>
        <w:jc w:val="right"/>
      </w:pPr>
      <w:r>
        <w:rPr>
          <w:rFonts w:ascii="Tahoma" w:hAnsi="Tahoma" w:cs="Tahoma"/>
          <w:sz w:val="22"/>
          <w:szCs w:val="22"/>
          <w:rtl/>
        </w:rPr>
        <w:t xml:space="preserve">pip install -r requirements-dev.txt</w:t>
      </w:r>
    </w:p>
    <w:p>
      <w:pPr>
        <w:bidi/>
        <w:spacing w:after="40" w:line="276" w:lineRule="auto"/>
        <w:jc w:val="right"/>
      </w:pPr>
      <w:r>
        <w:rPr>
          <w:rFonts w:ascii="Tahoma" w:hAnsi="Tahoma" w:cs="Tahoma"/>
          <w:sz w:val="22"/>
          <w:szCs w:val="22"/>
          <w:rtl/>
        </w:rPr>
        <w:t xml:space="preserve">ruff check tests</w:t>
      </w:r>
    </w:p>
    <w:p>
      <w:pPr>
        <w:bidi/>
        <w:spacing w:after="40" w:line="276" w:lineRule="auto"/>
        <w:jc w:val="right"/>
      </w:pPr>
      <w:r>
        <w:rPr>
          <w:rFonts w:ascii="Tahoma" w:hAnsi="Tahoma" w:cs="Tahoma"/>
          <w:sz w:val="22"/>
          <w:szCs w:val="22"/>
          <w:rtl/>
        </w:rPr>
        <w:t xml:space="preserve">pytest tests --cov=openunderstand.oudb.api --cov=openunderstand.oudb.models --cov-branch --cov-report=term-missing --cov-report=html</w:t>
      </w:r>
    </w:p>
    <w:p>
      <w:pPr>
        <w:bidi/>
        <w:spacing w:after="120" w:line="276" w:lineRule="auto"/>
        <w:jc w:val="right"/>
      </w:pPr>
      <w:r>
        <w:rPr>
          <w:rFonts w:ascii="Tahoma" w:hAnsi="Tahoma" w:cs="Tahoma"/>
          <w:sz w:val="24"/>
          <w:szCs w:val="24"/>
          <w:rtl/>
        </w:rPr>
        <w:t xml:space="preserve">راهنمای کامل در docs/TESTING.md آمده است.</w:t>
      </w:r>
    </w:p>
    <w:sectPr>
      <w:pgSz w:w="11906" w:h="16838"/>
      <w:pgMar w:top="1440" w:right="1440" w:bottom="1440" w:left="1440" w:header="720" w:footer="720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ahoma" w:hAnsi="Tahoma" w:cs="Tahoma"/>
        <w:sz w:val="24"/>
        <w:szCs w:val="24"/>
        <w:lang w:bidi="fa-IR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