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M3 — Client Response to the Final Task List of 20/08/26</w:t>
      </w:r>
    </w:p>
    <w:p>
      <w:pPr>
        <w:spacing w:after="120"/>
      </w:pPr>
      <w:r>
        <w:t xml:space="preserve">The task list is accepted as the build. It captures the exchange accurately, and Section 6 in particular is a good guard against work creeping back in by accident. Nothing below asks you to restructure it.</w:t>
      </w:r>
    </w:p>
    <w:p>
      <w:pPr>
        <w:spacing w:after="120"/>
      </w:pPr>
      <w:r>
        <w:t xml:space="preserve">This answers your three items under “To be raised”, the point raised separately on T58, and adds one change to a rule threshold. Four task-level changes result, listed at the end.</w:t>
      </w:r>
    </w:p>
    <w:p>
      <w:pPr>
        <w:pStyle w:val="Heading1"/>
        <w:keepNext/>
        <w:keepLines/>
        <w:spacing w:after="120" w:before="280"/>
      </w:pPr>
      <w:r>
        <w:t xml:space="preserve">1. Rule 6 under a closed-set prompt — you are right, and it changes a threshold</w:t>
      </w:r>
    </w:p>
    <w:p>
      <w:pPr>
        <w:spacing w:after="120"/>
      </w:pPr>
      <w:r>
        <w:rPr>
          <w:b/>
          <w:bCs/>
        </w:rPr>
        <w:t xml:space="preserve">Your point is correct and it exposes a flaw in our own reasoning, which we should acknowledge directly. </w:t>
      </w:r>
      <w:r>
        <w:t xml:space="preserve">When we deferred T35 we argued that contamination was bounded because auto-accept is Rule 6 alone and Rule 6 requires independent OCR confirmation. That argument does not hold. If the candidate list is assembled from OCR matches, the model may simply be returning the OCR answer it was given, so “the VLM brand agrees with OCR” is satisfied by construction rather than observed. What remains is a single signal: OCR read text in the crop and it matched a brand above threshold.</w:t>
      </w:r>
    </w:p>
    <w:p>
      <w:pPr>
        <w:spacing w:after="120"/>
      </w:pPr>
      <w:r>
        <w:rPr>
          <w:b/>
          <w:bCs/>
        </w:rPr>
        <w:t xml:space="preserve">The deferral of T35 still stands, </w:t>
      </w:r>
      <w:r>
        <w:t xml:space="preserve">but on the two remaining reasons rather than three: the blind pass measures the problem without requiring a production change, and if the open-vocabulary variant is runnable the fix may cost nothing. Redesigning the production prompt mid-milestone remains the worse option. We are keeping the decision while correcting the reasoning behind it.</w:t>
      </w:r>
    </w:p>
    <w:p>
      <w:pPr>
        <w:spacing w:after="120"/>
      </w:pPr>
      <w:r>
        <w:rPr>
          <w:b/>
          <w:bCs/>
        </w:rPr>
        <w:t xml:space="preserve">What we want done about it. Two things.</w:t>
      </w:r>
    </w:p>
    <w:p>
      <w:pPr>
        <w:pStyle w:val="ListParagraph"/>
        <w:numPr>
          <w:ilvl w:val="0"/>
          <w:numId w:val="2"/>
        </w:numPr>
        <w:spacing w:after="80"/>
      </w:pPr>
      <w:r>
        <w:rPr>
          <w:b/>
          <w:bCs/>
        </w:rPr>
        <w:t xml:space="preserve">Record it in the acceptance evidence, </w:t>
      </w:r>
      <w:r>
        <w:t xml:space="preserve">in the same way as the YOLO training-data caveat. Auto-accept in M3 rests on the OCR fuzzy threshold rather than on two independent signals, and that should be stated plainly at close rather than inferred later from the numbers.</w:t>
      </w:r>
    </w:p>
    <w:p>
      <w:pPr>
        <w:pStyle w:val="ListParagraph"/>
        <w:numPr>
          <w:ilvl w:val="0"/>
          <w:numId w:val="2"/>
        </w:numPr>
        <w:spacing w:after="80"/>
      </w:pPr>
      <w:r>
        <w:rPr>
          <w:b/>
          <w:bCs/>
        </w:rPr>
        <w:t xml:space="preserve">Raise the OCR fuzzy threshold for Rule 6 specifically. </w:t>
      </w:r>
      <w:r>
        <w:t xml:space="preserve">One signal is now carrying weight the rule was designed to spread across two, so it should be held to a stricter standard. Please expose a separate threshold key for Rule 6 rather than reusing the general OCR threshold, and set it higher than the value you would otherwise have used. We would rather see fewer auto-accepts at higher precision than the reverse, since ACCEPT writes into FAISS and errors there compound. ACCEPT precision is already a milestone deliverable, so we will see whether the setting was right, and loosening a threshold later is trivial where cleaning a polluted index is not.</w:t>
      </w:r>
    </w:p>
    <w:p>
      <w:pPr>
        <w:spacing w:after="120"/>
      </w:pPr>
      <w:r>
        <w:rPr>
          <w:b/>
          <w:bCs/>
        </w:rPr>
        <w:t xml:space="preserve">For M4, so the field does not sit unused: </w:t>
      </w:r>
      <w:r>
        <w:t xml:space="preserve">T33 produces </w:t>
      </w:r>
      <w:r>
        <w:rPr>
          <w:rFonts w:ascii="Consolas" w:cs="Consolas" w:eastAsia="Consolas" w:hAnsi="Consolas"/>
          <w:sz w:val="20"/>
          <w:szCs w:val="20"/>
        </w:rPr>
        <w:t xml:space="preserve">vlm_brand_blind</w:t>
      </w:r>
      <w:r>
        <w:t xml:space="preserve">, which is a genuinely independent second signal because it comes from a call with no hints and no candidate list. Once it exists, a Rule 6 variant can check OCR agreement against the blind brand rather than the hinted one, which restores the original two-signal design properly. Not M3 work. Worth noting now so that the blind fields are understood as having a purpose beyond the agreement metric.</w:t>
      </w:r>
    </w:p>
    <w:p>
      <w:pPr>
        <w:pStyle w:val="Heading1"/>
        <w:keepNext/>
        <w:keepLines/>
        <w:spacing w:after="120" w:before="280"/>
      </w:pPr>
      <w:r>
        <w:t xml:space="preserve">2. T58 — the reading is “frames the sampler selected”, and no change is needed</w:t>
      </w:r>
    </w:p>
    <w:p>
      <w:pPr>
        <w:spacing w:after="120"/>
      </w:pPr>
      <w:r>
        <w:rPr>
          <w:b/>
          <w:bCs/>
        </w:rPr>
        <w:t xml:space="preserve">Clarifying the wording, which was ours and was ambiguous. </w:t>
      </w:r>
      <w:r>
        <w:t xml:space="preserve">“All sampled frames” means every frame the sampler selected and that therefore passed through the pipeline, including those where nothing was detected. It does not mean every frame in the video. Frames the sampler skipped were never in scope, and we are not asking for them.</w:t>
      </w:r>
    </w:p>
    <w:p>
      <w:pPr>
        <w:spacing w:after="120"/>
      </w:pPr>
      <w:r>
        <w:t xml:space="preserve">On that reading the concern about penalising unprocessed frames does not arise: everything in the output was processed, so a frame with no detections genuinely represents the system finding nothing where it did look. Those are the frames that reveal recall failures, which is why they must be present. No tagging of selected versus not-selected is needed, because nothing unselected appears in the output.</w:t>
      </w:r>
    </w:p>
    <w:p>
      <w:pPr>
        <w:spacing w:after="120"/>
      </w:pPr>
      <w:r>
        <w:rPr>
          <w:b/>
          <w:bCs/>
        </w:rPr>
        <w:t xml:space="preserve">What the manual pass actually needs, stated once so there is no ambiguity: </w:t>
      </w:r>
      <w:r>
        <w:t xml:space="preserve">the annotated frame images as specified in T58 — the frame itself with each detected box drawn on it, labelled with the brand, the router decision and the reason code. We open those and compare them against what is visible in the frame. That is the whole mechanism, it is already what T58 says, and it does not change.</w:t>
      </w:r>
    </w:p>
    <w:p>
      <w:pPr>
        <w:pStyle w:val="Heading1"/>
        <w:keepNext/>
        <w:keepLines/>
        <w:spacing w:after="120" w:before="280"/>
      </w:pPr>
      <w:r>
        <w:t xml:space="preserve">3. Rule 5 reviewer evidence — no new UI work, and one thing that is not new scope</w:t>
      </w:r>
    </w:p>
    <w:p>
      <w:pPr>
        <w:spacing w:after="120"/>
      </w:pPr>
      <w:r>
        <w:rPr>
          <w:b/>
          <w:bCs/>
        </w:rPr>
        <w:t xml:space="preserve">Taking the two halves separately, because our phrasing ran them together.</w:t>
      </w:r>
    </w:p>
    <w:p>
      <w:pPr>
        <w:spacing w:after="120"/>
      </w:pPr>
      <w:r>
        <w:rPr>
          <w:b/>
          <w:bCs/>
        </w:rPr>
        <w:t xml:space="preserve">No new review-interface work is being requested in M3. </w:t>
      </w:r>
      <w:r>
        <w:t xml:space="preserve">Our wording about evidence being visible on the same screen was loose. What we need is that the fields exist on the row: the OCR text, the OCR fuzzy score, the FAISS top-1 brand and score, and whether the brand came from audio. T56 already places all of them there, so nothing further is required and no interface changes are in scope.</w:t>
      </w:r>
    </w:p>
    <w:p>
      <w:pPr>
        <w:spacing w:after="120"/>
      </w:pPr>
      <w:r>
        <w:rPr>
          <w:b/>
          <w:bCs/>
        </w:rPr>
        <w:t xml:space="preserve">One addition that costs nothing. </w:t>
      </w:r>
      <w:r>
        <w:t xml:space="preserve">The reason code should be specific enough that a reviewer knows what to check without reading every field on the row — </w:t>
      </w:r>
      <w:r>
        <w:rPr>
          <w:rFonts w:ascii="Consolas" w:cs="Consolas" w:eastAsia="Consolas" w:hAnsi="Consolas"/>
          <w:sz w:val="20"/>
          <w:szCs w:val="20"/>
        </w:rPr>
        <w:t xml:space="preserve">channel_brand_outside_watermark_region</w:t>
      </w:r>
      <w:r>
        <w:t xml:space="preserve"> rather than a generic review code. T44 already requires the complete reason-code enum, so this is a naming point within work already planned.</w:t>
      </w:r>
    </w:p>
    <w:p>
      <w:pPr>
        <w:spacing w:after="120"/>
      </w:pPr>
      <w:r>
        <w:rPr>
          <w:b/>
          <w:bCs/>
        </w:rPr>
        <w:t xml:space="preserve">Separately, and this is not new scope: the M3 outputs must remain loadable in the existing review UI. </w:t>
      </w:r>
      <w:r>
        <w:t xml:space="preserve">That interface was built and paid for in an earlier milestone, and the requirement was set out in our original feedback — router outputs load into the review UI without manual conversion steps, with the quarantine and UNKNOWN_LOGO queues visible and actionable there. It does not appear in the current task list and we would like it restated as a deliverable.</w:t>
      </w:r>
    </w:p>
    <w:p>
      <w:pPr>
        <w:spacing w:after="120"/>
      </w:pPr>
      <w:r>
        <w:t xml:space="preserve">To be precise about the boundary, since it is exactly the distinction you were right to draw: we are not asking for new screens, new layouts or new reviewer features. We are asking that the milestone's output remains consumable by the interface that already exists — that the new fields do not break it, and that the quarantine and UNKNOWN_LOGO queues populate from the router's output as they are supposed to. If the added fields require a schema change on the UI side for it to keep working, tell us the size of that and we will treat it as its own item rather than assuming it is free.</w:t>
      </w:r>
    </w:p>
    <w:p>
      <w:pPr>
        <w:pStyle w:val="Heading1"/>
        <w:keepNext/>
        <w:keepLines/>
        <w:spacing w:after="120" w:before="280"/>
      </w:pPr>
      <w:r>
        <w:t xml:space="preserve">4. The acceptance corpus — the labels are in Roboflow, and you have had the export</w:t>
      </w:r>
    </w:p>
    <w:p>
      <w:pPr>
        <w:spacing w:after="120"/>
      </w:pPr>
      <w:r>
        <w:rPr>
          <w:b/>
          <w:bCs/>
        </w:rPr>
        <w:t xml:space="preserve">A piece of context that should shorten this considerably. </w:t>
      </w:r>
      <w:r>
        <w:t xml:space="preserve">The labelling was done on Roboflow. We uploaded frames from several videos, worked through them there, and exported the dataset. </w:t>
      </w:r>
      <w:r>
        <w:rPr>
          <w:b/>
          <w:bCs/>
        </w:rPr>
        <w:t xml:space="preserve">That export was supplied to you and used on your side to train the customised YOLO model.</w:t>
      </w:r>
      <w:r>
        <w:t xml:space="preserve"> So the material T2 is searching for is not an unidentified folder of 356 crops — it is a Roboflow export that was delivered, used successfully, and should exist wherever that training was run.</w:t>
      </w:r>
    </w:p>
    <w:p>
      <w:pPr>
        <w:spacing w:after="120"/>
      </w:pPr>
      <w:r>
        <w:rPr>
          <w:b/>
          <w:bCs/>
        </w:rPr>
        <w:t xml:space="preserve">We will re-export and send it, so this does not become a blocker. </w:t>
      </w:r>
      <w:r>
        <w:t xml:space="preserve">We still have access to the Roboflow project and re-exporting is quick. Please treat that as the definitive copy rather than continuing the internal search.</w:t>
      </w:r>
    </w:p>
    <w:p>
      <w:pPr>
        <w:spacing w:after="120"/>
      </w:pPr>
      <w:r>
        <w:rPr>
          <w:b/>
          <w:bCs/>
        </w:rPr>
        <w:t xml:space="preserve">One process note, lightly meant. </w:t>
      </w:r>
      <w:r>
        <w:t xml:space="preserve">This is now the third item that has needed to be re-supplied after having been provided once: the crops, the provenance of the FAISS index, and now the training export. Each is individually minor and we are not making an issue of any of them. Taken together they have cost a fair amount of time in this exchange that neither side wanted to spend. A short record of what was received, when, and where it was stored would prevent the next one, and would have answered the FAISS provenance question without an audit.</w:t>
      </w:r>
    </w:p>
    <w:p>
      <w:pPr>
        <w:spacing w:after="120"/>
      </w:pPr>
      <w:r>
        <w:rPr>
          <w:b/>
          <w:bCs/>
        </w:rPr>
        <w:t xml:space="preserve">Two things we need from you when the export arrives, since they determine which route the corpus takes:</w:t>
      </w:r>
    </w:p>
    <w:p>
      <w:pPr>
        <w:pStyle w:val="ListParagraph"/>
        <w:numPr>
          <w:ilvl w:val="0"/>
          <w:numId w:val="2"/>
        </w:numPr>
        <w:spacing w:after="80"/>
      </w:pPr>
      <w:r>
        <w:rPr>
          <w:b/>
          <w:bCs/>
        </w:rPr>
        <w:t xml:space="preserve">Whether the image filenames in the export identify the source video and frame. </w:t>
      </w:r>
      <w:r>
        <w:t xml:space="preserve">This is the substance of your T2 check. Roboflow preserves the filenames it was given at upload, so if those carried video and frame identifiers the mapping to router-input rows is recoverable. If they were renamed generically at upload, we have labels and exact box coordinates but no pipeline provenance.</w:t>
      </w:r>
    </w:p>
    <w:p>
      <w:pPr>
        <w:pStyle w:val="ListParagraph"/>
        <w:numPr>
          <w:ilvl w:val="0"/>
          <w:numId w:val="2"/>
        </w:numPr>
        <w:spacing w:after="80"/>
      </w:pPr>
      <w:r>
        <w:rPr>
          <w:b/>
          <w:bCs/>
        </w:rPr>
        <w:t xml:space="preserve">The actual count of labelled frames and boxes. </w:t>
      </w:r>
      <w:r>
        <w:t xml:space="preserve">The figure of 356 has been carried through this exchange without either side verifying it. The export settles it, and we would rather work from the real number than continue quoting one nobody has checked.</w:t>
      </w:r>
    </w:p>
    <w:p>
      <w:pPr>
        <w:spacing w:after="120"/>
      </w:pPr>
      <w:r>
        <w:rPr>
          <w:b/>
          <w:bCs/>
        </w:rPr>
        <w:t xml:space="preserve">Route ordering, confirmed as you have it, with the first route revised. </w:t>
      </w:r>
      <w:r>
        <w:t xml:space="preserve">Route one is the Roboflow export and the filename check, which is more likely to succeed than a directory search because Roboflow keeps what it was given. Route two is us labelling rows from the existing 1,739 output, which gives exact correspondence at the cost of our time. Route three, re-extraction from our source videos with geometric matching, stays last for the reason you have already recorded: the detector has changed since those labels were made, so re-extraction produces different boxes and the matching would be approximate.</w:t>
      </w:r>
    </w:p>
    <w:p>
      <w:pPr>
        <w:spacing w:after="120"/>
      </w:pPr>
      <w:r>
        <w:rPr>
          <w:b/>
          <w:bCs/>
        </w:rPr>
        <w:t xml:space="preserve">One improvement to route three, if it is ever needed. </w:t>
      </w:r>
      <w:r>
        <w:t xml:space="preserve">The Roboflow export carries exact box coordinates, so geometric matching would be against precise labelled boxes rather than reconstructed approximations. That does not make it a good option, but it makes it a better last resort than it was.</w:t>
      </w:r>
    </w:p>
    <w:p>
      <w:pPr>
        <w:spacing w:after="120"/>
      </w:pPr>
      <w:r>
        <w:rPr>
          <w:b/>
          <w:bCs/>
        </w:rPr>
        <w:t xml:space="preserve">If route two is used, tell us the label count you need before we start. </w:t>
      </w:r>
      <w:r>
        <w:t xml:space="preserve">Per-rule precision across eighteen rules requires enough rows that each rule fires more than a handful of times, and we would rather agree the target than label a few hundred rows and discover it was not enough to support the figures.</w:t>
      </w:r>
    </w:p>
    <w:p>
      <w:pPr>
        <w:pStyle w:val="Heading1"/>
        <w:keepNext/>
        <w:keepLines/>
        <w:spacing w:after="120" w:before="280"/>
      </w:pPr>
      <w:r>
        <w:t xml:space="preserve">5. Changes to the task list</w:t>
      </w:r>
    </w:p>
    <w:p>
      <w:pPr>
        <w:pStyle w:val="ListParagraph"/>
        <w:numPr>
          <w:ilvl w:val="0"/>
          <w:numId w:val="2"/>
        </w:numPr>
        <w:spacing w:after="80"/>
      </w:pPr>
      <w:r>
        <w:rPr>
          <w:b/>
          <w:bCs/>
        </w:rPr>
        <w:t xml:space="preserve">T2 </w:t>
      </w:r>
      <w:r>
        <w:t xml:space="preserve">— reframed. The material is a Roboflow export that was previously supplied for the YOLO training. We are re-exporting and sending it. The check itself is unchanged: do the filenames identify source video and frame, and what is the actual count.</w:t>
      </w:r>
    </w:p>
    <w:p>
      <w:pPr>
        <w:pStyle w:val="ListParagraph"/>
        <w:numPr>
          <w:ilvl w:val="0"/>
          <w:numId w:val="2"/>
        </w:numPr>
        <w:spacing w:after="80"/>
      </w:pPr>
      <w:r>
        <w:rPr>
          <w:b/>
          <w:bCs/>
        </w:rPr>
        <w:t xml:space="preserve">New task in Group 6 </w:t>
      </w:r>
      <w:r>
        <w:t xml:space="preserve">— a separate OCR fuzzy threshold key for Rule 6, set higher than the general OCR threshold.</w:t>
      </w:r>
    </w:p>
    <w:p>
      <w:pPr>
        <w:pStyle w:val="ListParagraph"/>
        <w:numPr>
          <w:ilvl w:val="0"/>
          <w:numId w:val="2"/>
        </w:numPr>
        <w:spacing w:after="80"/>
      </w:pPr>
      <w:r>
        <w:rPr>
          <w:b/>
          <w:bCs/>
        </w:rPr>
        <w:t xml:space="preserve">T44 </w:t>
      </w:r>
      <w:r>
        <w:t xml:space="preserve">— reason codes to name the condition that fired, specifically enough for a reviewer to know what to check.</w:t>
      </w:r>
    </w:p>
    <w:p>
      <w:pPr>
        <w:pStyle w:val="ListParagraph"/>
        <w:numPr>
          <w:ilvl w:val="0"/>
          <w:numId w:val="2"/>
        </w:numPr>
        <w:spacing w:after="80"/>
      </w:pPr>
      <w:r>
        <w:rPr>
          <w:b/>
          <w:bCs/>
        </w:rPr>
        <w:t xml:space="preserve">New deliverable </w:t>
      </w:r>
      <w:r>
        <w:t xml:space="preserve">— M3 outputs load into the existing review UI without manual conversion, with the quarantine and UNKNOWN_LOGO queues populated. Restating an existing requirement rather than adding one; flag it if the added fields make this non-trivial.</w:t>
      </w:r>
    </w:p>
    <w:p>
      <w:pPr>
        <w:pStyle w:val="ListParagraph"/>
        <w:numPr>
          <w:ilvl w:val="0"/>
          <w:numId w:val="2"/>
        </w:numPr>
        <w:spacing w:after="80"/>
      </w:pPr>
      <w:r>
        <w:rPr>
          <w:b/>
          <w:bCs/>
        </w:rPr>
        <w:t xml:space="preserve">Acceptance evidence </w:t>
      </w:r>
      <w:r>
        <w:t xml:space="preserve">— add the Rule 6 caveat: auto-accept in M3 rests on the OCR fuzzy threshold rather than two independent signals, for the reason set out in section 1.</w:t>
      </w:r>
    </w:p>
    <w:p>
      <w:pPr>
        <w:spacing w:after="120"/>
      </w:pPr>
      <w:r>
        <w:t xml:space="preserve">T58 is unchanged. Everything else in the task list is accepted as written.</w:t>
      </w:r>
    </w:p>
    <w:p>
      <w:pPr>
        <w:pStyle w:val="Heading1"/>
        <w:keepNext/>
        <w:keepLines/>
        <w:spacing w:after="120" w:before="280"/>
      </w:pPr>
      <w:r>
        <w:t xml:space="preserve">6. Outstanding on your side</w:t>
      </w:r>
    </w:p>
    <w:p>
      <w:pPr>
        <w:spacing w:after="120"/>
      </w:pPr>
      <w:r>
        <w:t xml:space="preserve">These were requested in our response to the 15/08 plan and are still open. We are not asking for any of them to delay the build, but the milestone now has sixty-nine tasks and a full dependency graph with no date anywhere in it, and we cannot tell from the current document whether M3 is on track or when it closes.</w:t>
      </w:r>
    </w:p>
    <w:p>
      <w:pPr>
        <w:spacing w:after="120"/>
      </w:pPr>
      <w:r>
        <w:rPr>
          <w:b/>
          <w:bCs/>
        </w:rPr>
        <w:t xml:space="preserve">The four verification tasks, which you have marked urgent yourselves.</w:t>
      </w:r>
    </w:p>
    <w:p>
      <w:pPr>
        <w:pStyle w:val="ListParagraph"/>
        <w:numPr>
          <w:ilvl w:val="0"/>
          <w:numId w:val="2"/>
        </w:numPr>
        <w:spacing w:after="80"/>
      </w:pPr>
      <w:r>
        <w:rPr>
          <w:b/>
          <w:bCs/>
        </w:rPr>
        <w:t xml:space="preserve">T68 </w:t>
      </w:r>
      <w:r>
        <w:t xml:space="preserve">— are the OCR fields populated on the 1,739 rows? If not, six rules have no input and a backfill sits ahead of T61 and T62.</w:t>
      </w:r>
    </w:p>
    <w:p>
      <w:pPr>
        <w:pStyle w:val="ListParagraph"/>
        <w:numPr>
          <w:ilvl w:val="0"/>
          <w:numId w:val="2"/>
        </w:numPr>
        <w:spacing w:after="80"/>
      </w:pPr>
      <w:r>
        <w:rPr>
          <w:b/>
          <w:bCs/>
        </w:rPr>
        <w:t xml:space="preserve">T69 </w:t>
      </w:r>
      <w:r>
        <w:t xml:space="preserve">— does a canonicalisation pass exist from M2? This decides whether T37 is integration or new build.</w:t>
      </w:r>
    </w:p>
    <w:p>
      <w:pPr>
        <w:pStyle w:val="ListParagraph"/>
        <w:numPr>
          <w:ilvl w:val="0"/>
          <w:numId w:val="2"/>
        </w:numPr>
        <w:spacing w:after="80"/>
      </w:pPr>
      <w:r>
        <w:rPr>
          <w:b/>
          <w:bCs/>
        </w:rPr>
        <w:t xml:space="preserve">T70 </w:t>
      </w:r>
      <w:r>
        <w:t xml:space="preserve">— does shot detection emit a stable identifier today? Same question for T57.</w:t>
      </w:r>
    </w:p>
    <w:p>
      <w:pPr>
        <w:pStyle w:val="ListParagraph"/>
        <w:numPr>
          <w:ilvl w:val="0"/>
          <w:numId w:val="2"/>
        </w:numPr>
        <w:spacing w:after="80"/>
      </w:pPr>
      <w:r>
        <w:rPr>
          <w:b/>
          <w:bCs/>
        </w:rPr>
        <w:t xml:space="preserve">T1 </w:t>
      </w:r>
      <w:r>
        <w:t xml:space="preserve">— the prompt audit, in your stated priority order: A3 first, then A2, then A1.</w:t>
      </w:r>
    </w:p>
    <w:p>
      <w:pPr>
        <w:spacing w:after="120"/>
      </w:pPr>
      <w:r>
        <w:rPr>
          <w:b/>
          <w:bCs/>
        </w:rPr>
        <w:t xml:space="preserve">The Section A answers from the 15/08 plan. </w:t>
      </w:r>
      <w:r>
        <w:t xml:space="preserve">All nine were marked to fill and none has come back. A6 is answered from our side, and A4 depends on the Roboflow export. The remainder are answerable from your own repository:</w:t>
      </w:r>
    </w:p>
    <w:p>
      <w:pPr>
        <w:pStyle w:val="ListParagraph"/>
        <w:numPr>
          <w:ilvl w:val="0"/>
          <w:numId w:val="2"/>
        </w:numPr>
        <w:spacing w:after="80"/>
      </w:pPr>
      <w:r>
        <w:rPr>
          <w:b/>
          <w:bCs/>
        </w:rPr>
        <w:t xml:space="preserve">A1, A2, A3 </w:t>
      </w:r>
      <w:r>
        <w:t xml:space="preserve">— covered by T1 above.</w:t>
      </w:r>
    </w:p>
    <w:p>
      <w:pPr>
        <w:pStyle w:val="ListParagraph"/>
        <w:numPr>
          <w:ilvl w:val="0"/>
          <w:numId w:val="2"/>
        </w:numPr>
        <w:spacing w:after="80"/>
      </w:pPr>
      <w:r>
        <w:rPr>
          <w:b/>
          <w:bCs/>
        </w:rPr>
        <w:t xml:space="preserve">A5 </w:t>
      </w:r>
      <w:r>
        <w:t xml:space="preserve">— which extraction manifests you hold, by video. This determines whether the acceptance corpus can be assembled at all and it is your own inventory.</w:t>
      </w:r>
    </w:p>
    <w:p>
      <w:pPr>
        <w:pStyle w:val="ListParagraph"/>
        <w:numPr>
          <w:ilvl w:val="0"/>
          <w:numId w:val="2"/>
        </w:numPr>
        <w:spacing w:after="80"/>
      </w:pPr>
      <w:r>
        <w:rPr>
          <w:b/>
          <w:bCs/>
        </w:rPr>
        <w:t xml:space="preserve">A7 </w:t>
      </w:r>
      <w:r>
        <w:t xml:space="preserve">— the video format and destination. This is one line from you, and it blocks the fresh videos, which block the watermark coordinates, which block T47. It is the cheapest unblock available to either side.</w:t>
      </w:r>
    </w:p>
    <w:p>
      <w:pPr>
        <w:pStyle w:val="ListParagraph"/>
        <w:numPr>
          <w:ilvl w:val="0"/>
          <w:numId w:val="2"/>
        </w:numPr>
        <w:spacing w:after="80"/>
      </w:pPr>
      <w:r>
        <w:rPr>
          <w:b/>
          <w:bCs/>
        </w:rPr>
        <w:t xml:space="preserve">A8 </w:t>
      </w:r>
      <w:r>
        <w:t xml:space="preserve">— the definition and source of the canonical brand list. This must be settled before T25 starts, as your own sequencing states.</w:t>
      </w:r>
    </w:p>
    <w:p>
      <w:pPr>
        <w:pStyle w:val="ListParagraph"/>
        <w:numPr>
          <w:ilvl w:val="0"/>
          <w:numId w:val="2"/>
        </w:numPr>
        <w:spacing w:after="80"/>
      </w:pPr>
      <w:r>
        <w:rPr>
          <w:b/>
          <w:bCs/>
        </w:rPr>
        <w:t xml:space="preserve">A9 </w:t>
      </w:r>
      <w:r>
        <w:t xml:space="preserve">— the OCR invocation structure, noting the circularity we flagged: heuristic 2 needs OCR before refinement, the verification pass needs it after.</w:t>
      </w:r>
    </w:p>
    <w:p>
      <w:pPr>
        <w:spacing w:after="120"/>
      </w:pPr>
      <w:r>
        <w:rPr>
          <w:b/>
          <w:bCs/>
        </w:rPr>
        <w:t xml:space="preserve">The time dimension, which the task list does not currently contain at all.</w:t>
      </w:r>
    </w:p>
    <w:p>
      <w:pPr>
        <w:pStyle w:val="ListParagraph"/>
        <w:numPr>
          <w:ilvl w:val="0"/>
          <w:numId w:val="2"/>
        </w:numPr>
        <w:spacing w:after="80"/>
      </w:pPr>
      <w:r>
        <w:rPr>
          <w:b/>
          <w:bCs/>
        </w:rPr>
        <w:t xml:space="preserve">Per-group estimates. </w:t>
      </w:r>
      <w:r>
        <w:t xml:space="preserve">Eleven numbers, not sixty-nine. We are not asking for a task-level schedule.</w:t>
      </w:r>
    </w:p>
    <w:p>
      <w:pPr>
        <w:pStyle w:val="ListParagraph"/>
        <w:numPr>
          <w:ilvl w:val="0"/>
          <w:numId w:val="2"/>
        </w:numPr>
        <w:spacing w:after="80"/>
      </w:pPr>
      <w:r>
        <w:rPr>
          <w:b/>
          <w:bCs/>
        </w:rPr>
        <w:t xml:space="preserve">A date for T7. </w:t>
      </w:r>
      <w:r>
        <w:t xml:space="preserve">You state it gates everything and that slipping it slips the milestone, which makes it the single most important date in the plan.</w:t>
      </w:r>
    </w:p>
    <w:p>
      <w:pPr>
        <w:pStyle w:val="ListParagraph"/>
        <w:numPr>
          <w:ilvl w:val="0"/>
          <w:numId w:val="2"/>
        </w:numPr>
        <w:spacing w:after="80"/>
      </w:pPr>
      <w:r>
        <w:rPr>
          <w:b/>
          <w:bCs/>
        </w:rPr>
        <w:t xml:space="preserve">A date for T1 </w:t>
      </w:r>
      <w:r>
        <w:t xml:space="preserve">and for the three verification tasks, since each one decides whether a later task is integration or new build.</w:t>
      </w:r>
    </w:p>
    <w:p>
      <w:pPr>
        <w:pStyle w:val="ListParagraph"/>
        <w:numPr>
          <w:ilvl w:val="0"/>
          <w:numId w:val="2"/>
        </w:numPr>
        <w:spacing w:after="80"/>
      </w:pPr>
      <w:r>
        <w:rPr>
          <w:b/>
          <w:bCs/>
        </w:rPr>
        <w:t xml:space="preserve">A target date for M3 close, </w:t>
      </w:r>
      <w:r>
        <w:t xml:space="preserve">with the two or three items you consider most likely to move it. A rough date with named risks is more useful to us than a precise one, and we will treat it as a forecast rather than a commitment.</w:t>
      </w:r>
    </w:p>
    <w:p>
      <w:pPr>
        <w:spacing w:after="120"/>
      </w:pPr>
      <w:r>
        <w:rPr>
          <w:b/>
          <w:bCs/>
        </w:rPr>
        <w:t xml:space="preserve">What we would like back, and when. </w:t>
      </w:r>
      <w:r>
        <w:t xml:space="preserve">The four verification results and A5 and A7 within the week, since they are lookups rather than work and three of them unblock chains on our side. The estimates and dates alongside them, or with a note of when they will follow if the build has not been scoped yet.</w:t>
      </w:r>
    </w:p>
    <w:p>
      <w:pPr>
        <w:pStyle w:val="Heading1"/>
        <w:keepNext/>
        <w:keepLines/>
        <w:spacing w:after="120" w:before="280"/>
      </w:pPr>
      <w:r>
        <w:t xml:space="preserve">7. Outstanding on our side</w:t>
      </w:r>
    </w:p>
    <w:p>
      <w:pPr>
        <w:pStyle w:val="ListParagraph"/>
        <w:numPr>
          <w:ilvl w:val="0"/>
          <w:numId w:val="2"/>
        </w:numPr>
        <w:spacing w:after="80"/>
      </w:pPr>
      <w:r>
        <w:rPr>
          <w:b/>
          <w:bCs/>
        </w:rPr>
        <w:t xml:space="preserve">The Roboflow export. </w:t>
      </w:r>
      <w:r>
        <w:t xml:space="preserve">Going first, since T2 is urgent and the acceptance corpus follows from it.</w:t>
      </w:r>
    </w:p>
    <w:p>
      <w:pPr>
        <w:pStyle w:val="ListParagraph"/>
        <w:numPr>
          <w:ilvl w:val="0"/>
          <w:numId w:val="2"/>
        </w:numPr>
        <w:spacing w:after="80"/>
      </w:pPr>
      <w:r>
        <w:rPr>
          <w:b/>
          <w:bCs/>
        </w:rPr>
        <w:t xml:space="preserve">The three to five fresh videos, with a date, </w:t>
      </w:r>
      <w:r>
        <w:t xml:space="preserve">once you confirm format and destination under A7.</w:t>
      </w:r>
    </w:p>
    <w:p>
      <w:pPr>
        <w:pStyle w:val="ListParagraph"/>
        <w:numPr>
          <w:ilvl w:val="0"/>
          <w:numId w:val="2"/>
        </w:numPr>
        <w:spacing w:after="80"/>
      </w:pPr>
      <w:r>
        <w:rPr>
          <w:b/>
          <w:bCs/>
        </w:rPr>
        <w:t xml:space="preserve">The watermark coordinates, </w:t>
      </w:r>
      <w:r>
        <w:t xml:space="preserve">read off those videos once they exist — so this trails the videos rather than being independent of them.</w:t>
      </w:r>
    </w:p>
    <w:p>
      <w:pPr>
        <w:pStyle w:val="ListParagraph"/>
        <w:numPr>
          <w:ilvl w:val="0"/>
          <w:numId w:val="2"/>
        </w:numPr>
        <w:spacing w:after="80"/>
      </w:pPr>
      <w:r>
        <w:rPr>
          <w:b/>
          <w:bCs/>
        </w:rPr>
        <w:t xml:space="preserve">Confirmation of the frozen row schema </w:t>
      </w:r>
      <w:r>
        <w:t xml:space="preserve">when you publish it under T9, within one round.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2026-08-24T06:47:35.324Z</dcterms:created>
  <dcterms:modified xsi:type="dcterms:W3CDTF">2026-08-24T06:47:35.340Z</dcterms:modified>
</cp:coreProperties>
</file>

<file path=docProps/custom.xml><?xml version="1.0" encoding="utf-8"?>
<Properties xmlns="http://schemas.openxmlformats.org/officeDocument/2006/custom-properties" xmlns:vt="http://schemas.openxmlformats.org/officeDocument/2006/docPropsVTypes"/>
</file>