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M3 — Client Response to Revision 2 of 04/09/26</w:t>
      </w:r>
    </w:p>
    <w:p>
      <w:pPr>
        <w:spacing w:after="120"/>
      </w:pPr>
      <w:r>
        <w:t xml:space="preserve">The verification work is accepted and the revision is a clear improvement. Three of the results change the milestone materially and we would rather have them now than at close. This gives the decisions you are held on, two corrections, one item we are questioning, and the timeline question.</w:t>
      </w:r>
    </w:p>
    <w:p>
      <w:pPr>
        <w:spacing w:after="120"/>
      </w:pPr>
      <w:r>
        <w:rPr>
          <w:b/>
          <w:bCs/>
        </w:rPr>
        <w:t xml:space="preserve">Decisions in this document: </w:t>
      </w:r>
      <w:r>
        <w:t xml:space="preserve">A8 confirmed, the hinted pass moves to open mode, fixed-interval sampling confirmed, min_merge_area confirmed as a placeholder. T75 is questioned rather than decided. T54 and T61 need correcting.</w:t>
      </w:r>
    </w:p>
    <w:p>
      <w:pPr>
        <w:pStyle w:val="Heading1"/>
        <w:keepNext/>
        <w:keepLines/>
        <w:spacing w:after="120" w:before="280"/>
      </w:pPr>
      <w:r>
        <w:t xml:space="preserve">1. Decisions you are held on</w:t>
      </w:r>
    </w:p>
    <w:p>
      <w:pPr>
        <w:pStyle w:val="Heading2"/>
        <w:keepNext/>
        <w:keepLines/>
        <w:spacing w:after="100" w:before="240"/>
      </w:pPr>
      <w:r>
        <w:t xml:space="preserve">A8 — canonical brand list: confirmed</w:t>
      </w:r>
    </w:p>
    <w:p>
      <w:pPr>
        <w:spacing w:after="120"/>
      </w:pPr>
      <w:r>
        <w:t xml:space="preserve">Use the 321-name Roboflow class list as the canonical brand list for M3, committed as a YAML snapshot keyed by export date with a content hash, aliases in the same file, and the version recorded in every run output. T5 is unblocked and T25 can start.</w:t>
      </w:r>
    </w:p>
    <w:p>
      <w:pPr>
        <w:spacing w:after="120"/>
      </w:pPr>
      <w:r>
        <w:rPr>
          <w:b/>
          <w:bCs/>
        </w:rPr>
        <w:t xml:space="preserve">One condition. </w:t>
      </w:r>
      <w:r>
        <w:t xml:space="preserve">Adding a brand to the list must be a documented procedure rather than a code change. The UNKNOWN_LOGO queue exists precisely to surface brands that are not on this list, so the list has to be able to grow as that queue is worked. Please state in the schema document how a brand is added and how the snapshot is re-versioned when it happens.</w:t>
      </w:r>
    </w:p>
    <w:p>
      <w:pPr>
        <w:spacing w:after="120"/>
      </w:pPr>
      <w:r>
        <w:rPr>
          <w:b/>
          <w:bCs/>
        </w:rPr>
        <w:t xml:space="preserve">On the withdrawn 06/08 statement: noted, and the finding behind it matters more than the correction. </w:t>
      </w:r>
      <w:r>
        <w:t xml:space="preserve">Only 26 of our 321 brands appear in the FAISS gallery. That is not a tuning problem. The index holds three thousand brands from a public dataset that barely overlaps the domain we actually measure, so for roughly nine in ten of the brands we care about the correct answer is not in the index at all. It explains the observed behaviour completely and it changes what the re-benchmark has to report — see section 2.</w:t>
      </w:r>
    </w:p>
    <w:p>
      <w:pPr>
        <w:pStyle w:val="Heading2"/>
        <w:keepNext/>
        <w:keepLines/>
        <w:spacing w:after="100" w:before="240"/>
      </w:pPr>
      <w:r>
        <w:t xml:space="preserve">Hinted pass — run it in open mode</w:t>
      </w:r>
    </w:p>
    <w:p>
      <w:pPr>
        <w:spacing w:after="120"/>
      </w:pPr>
      <w:r>
        <w:rPr>
          <w:b/>
          <w:bCs/>
        </w:rPr>
        <w:t xml:space="preserve">Decision: the M3 hinted pass runs the open-vocabulary variant with hints, not the closed-set variant. </w:t>
      </w:r>
      <w:r>
        <w:t xml:space="preserve">The blind pass stays open-vocabulary with no hints, as you have it.</w:t>
      </w:r>
    </w:p>
    <w:p>
      <w:pPr>
        <w:spacing w:after="120"/>
      </w:pPr>
      <w:r>
        <w:rPr>
          <w:b/>
          <w:bCs/>
        </w:rPr>
        <w:t xml:space="preserve">Reasoning, since this looks close to the T35 change we deferred and is not the same thing. </w:t>
      </w:r>
      <w:r>
        <w:t xml:space="preserve">We are not asking you to remove FAISS from the prompt; that remains M4. We are asking that the model not be restricted to choosing from the candidate list. Under the closed-set instruction the model picks from a list assembled from OCR, so Rule 6's requirement that the VLM brand agrees with the OCR match cannot fail — it is guaranteed by construction. In open mode the model can name something the list does not contain, so agreement becomes weak evidence rather than no evidence. Rule 6 is the only auto-accept path in v1, which makes this the cheapest available improvement to the one decision that writes into the index.</w:t>
      </w:r>
    </w:p>
    <w:p>
      <w:pPr>
        <w:spacing w:after="120"/>
      </w:pPr>
      <w:r>
        <w:rPr>
          <w:b/>
          <w:bCs/>
        </w:rPr>
        <w:t xml:space="preserve">We accept the consequence: </w:t>
      </w:r>
      <w:r>
        <w:t xml:space="preserve">open mode will produce more spelling and naming variants, so T37 carries more load. That is the right place for that work, and it is why the canonicalisation pass is deterministic against a fixed list.</w:t>
      </w:r>
    </w:p>
    <w:p>
      <w:pPr>
        <w:spacing w:after="120"/>
      </w:pPr>
      <w:r>
        <w:t xml:space="preserve">Since A1 could not be answered there is no M2 continuity to preserve, so we are stating this as the M3 configuration rather than as a change from anything. The Rule 6 caveat stays in the acceptance evidence, since open mode reduces the problem without removing it.</w:t>
      </w:r>
    </w:p>
    <w:p>
      <w:pPr>
        <w:pStyle w:val="Heading2"/>
        <w:keepNext/>
        <w:keepLines/>
        <w:spacing w:after="100" w:before="240"/>
      </w:pPr>
      <w:r>
        <w:t xml:space="preserve">Frame sampling — fixed interval, and we expect to change it ourselves</w:t>
      </w:r>
    </w:p>
    <w:p>
      <w:pPr>
        <w:spacing w:after="120"/>
      </w:pPr>
      <w:r>
        <w:rPr>
          <w:b/>
          <w:bCs/>
        </w:rPr>
        <w:t xml:space="preserve">Confirmed: fixed interval at two seconds as the v1 default, </w:t>
      </w:r>
      <w:r>
        <w:t xml:space="preserve">with one-frame-per-shot available in the YAML. Regular sampling measures exposure duration properly, which is the commercial output; one frame per shot establishes that a logo appeared but not for how long.</w:t>
      </w:r>
    </w:p>
    <w:p>
      <w:pPr>
        <w:spacing w:after="120"/>
      </w:pPr>
      <w:r>
        <w:rPr>
          <w:b/>
          <w:bCs/>
        </w:rPr>
        <w:t xml:space="preserve">One requirement on how it is exposed. </w:t>
      </w:r>
      <w:r>
        <w:t xml:space="preserve">We expect to be able to shorten the interval ourselves by editing the YAML value and re-running, with no code change and no developer involvement. Please confirm the interval is a plain configuration value in the same file as the other thresholds, per T8.</w:t>
      </w:r>
    </w:p>
    <w:p>
      <w:pPr>
        <w:pStyle w:val="Heading2"/>
        <w:keepNext/>
        <w:keepLines/>
        <w:spacing w:after="100" w:before="240"/>
      </w:pPr>
      <w:r>
        <w:t xml:space="preserve">min_merge_area — confirmed as a placeholder</w:t>
      </w:r>
    </w:p>
    <w:p>
      <w:pPr>
        <w:spacing w:after="120"/>
      </w:pPr>
      <w:r>
        <w:t xml:space="preserve">0.0004 of frame area is accepted as a v1 placeholder on the understanding that it is provisional and will be set from the T19 distributions after the first full run. We understand it as roughly a twenty by twenty pixel box at 720p, below which overlapping boxes are not merged at all.</w:t>
      </w:r>
    </w:p>
    <w:p>
      <w:pPr>
        <w:spacing w:after="120"/>
      </w:pPr>
      <w:r>
        <w:rPr>
          <w:b/>
          <w:bCs/>
        </w:rPr>
        <w:t xml:space="preserve">A steer for when the T19 evidence arrives. </w:t>
      </w:r>
      <w:r>
        <w:t xml:space="preserve">If the distributions are ambiguous, err toward the higher value. Failing to merge costs extra VLM calls on duplicates that Rules 17 and 18 collapse afterwards; merging wrongly deletes a candidate permanently. We would rather pay for duplicates than lose logos, consistent with every other threshold decision in this milestone.</w:t>
      </w:r>
    </w:p>
    <w:p>
      <w:pPr>
        <w:pStyle w:val="Heading1"/>
        <w:keepNext/>
        <w:keepLines/>
        <w:spacing w:after="120" w:before="280"/>
      </w:pPr>
      <w:r>
        <w:t xml:space="preserve">2. Two corrections to the plan</w:t>
      </w:r>
    </w:p>
    <w:p>
      <w:pPr>
        <w:pStyle w:val="Heading2"/>
        <w:keepNext/>
        <w:keepLines/>
        <w:spacing w:after="100" w:before="240"/>
      </w:pPr>
      <w:r>
        <w:t xml:space="preserve">T54 — the re-benchmark must separate brands in the index from brands absent from it</w:t>
      </w:r>
    </w:p>
    <w:p>
      <w:pPr>
        <w:spacing w:after="120"/>
      </w:pPr>
      <w:r>
        <w:rPr>
          <w:b/>
          <w:bCs/>
        </w:rPr>
        <w:t xml:space="preserve">This follows directly from the A8 finding and it is the difference between a useful result and a meaningless one. </w:t>
      </w:r>
      <w:r>
        <w:t xml:space="preserve">With only 26 of 321 brands present in the gallery, a pooled top-k accuracy figure will be close to zero, and it will conflate two entirely different failures: FAISS cannot recognise a brand it does contain, and FAISS cannot return a brand it has never seen. The first is a retrieval quality problem addressed by thresholds or a better embedding. The second is an empty-index problem addressed only by enrolment. They have different fixes and the pooled number hides which one we have.</w:t>
      </w:r>
    </w:p>
    <w:p>
      <w:pPr>
        <w:spacing w:after="120"/>
      </w:pPr>
      <w:r>
        <w:rPr>
          <w:b/>
          <w:bCs/>
        </w:rPr>
        <w:t xml:space="preserve">Please report accuracy at k of 1, 3 and 5 for two populations separately: </w:t>
      </w:r>
      <w:r>
        <w:t xml:space="preserve">query crops whose true brand is present in the index, and query crops whose true brand is not. Report the count in each population alongside the figures. The similarity distributions for correct and incorrect top-1 should likewise be reported on the present-in-index population, since that is the only group where a threshold can separate anything.</w:t>
      </w:r>
    </w:p>
    <w:p>
      <w:pPr>
        <w:spacing w:after="120"/>
      </w:pPr>
      <w:r>
        <w:t xml:space="preserve">We expect the second population to show that FAISS returns a confident and wrong answer with no way to abstain, which is worth demonstrating rather than assuming. It also gives us the evidence for whether an abstain threshold is needed before FAISS is consumed by any rule.</w:t>
      </w:r>
    </w:p>
    <w:p>
      <w:pPr>
        <w:pStyle w:val="Heading2"/>
        <w:keepNext/>
        <w:keepLines/>
        <w:spacing w:after="100" w:before="240"/>
      </w:pPr>
      <w:r>
        <w:t xml:space="preserve">T61 — the M3 run replaces the 1,739 rows rather than backfilling them</w:t>
      </w:r>
    </w:p>
    <w:p>
      <w:pPr>
        <w:spacing w:after="120"/>
      </w:pPr>
      <w:r>
        <w:rPr>
          <w:b/>
          <w:bCs/>
        </w:rPr>
        <w:t xml:space="preserve">The wording needs correcting because it affects what we will be labelling. </w:t>
      </w:r>
      <w:r>
        <w:t xml:space="preserve">T61 states that the VLM fields on the 1,739 rows come from the M3 full run. An M3 run over video_1 does not produce those same 1,739 boxes: YOLO is merged in, the merge stage is new, and the detection set will differ in count and in geometry. There is therefore no row-to-row correspondence to backfill into, and attempting one would mean matching new boxes to old ones by overlap, which is exactly the approximate matching we have kept out of the router-only gate.</w:t>
      </w:r>
    </w:p>
    <w:p>
      <w:pPr>
        <w:spacing w:after="120"/>
      </w:pPr>
      <w:r>
        <w:rPr>
          <w:b/>
          <w:bCs/>
        </w:rPr>
        <w:t xml:space="preserve">Please state it as a replacement. </w:t>
      </w:r>
      <w:r>
        <w:t xml:space="preserve">The M3 full run over video_1 produces the corpus. Its rows are internally consistent, produced by the current system, and carry every field including the VLM outputs. The 1,739 rows become historical and are not the basis of the acceptance gate. The route-two label request under T66 is then drawn from the new rows, and the count you request should be stated against that run's decision distribution rather than against the old one.</w:t>
      </w:r>
    </w:p>
    <w:p>
      <w:pPr>
        <w:spacing w:after="120"/>
      </w:pPr>
      <w:r>
        <w:t xml:space="preserve">The same applies to T57 and T74. Backfilling shot_id and the OCR fields onto the 1,739 rows has no purpose if those rows are not the corpus. Both should run on the M3 output instead, which removes the backfill from T74 and leaves it as the OCR verification pass applied once during the run.</w:t>
      </w:r>
    </w:p>
    <w:p>
      <w:pPr>
        <w:pStyle w:val="Heading1"/>
        <w:keepNext/>
        <w:keepLines/>
        <w:spacing w:after="120" w:before="280"/>
      </w:pPr>
      <w:r>
        <w:t xml:space="preserve">3. T75 — we are questioning this rather than deciding it</w:t>
      </w:r>
    </w:p>
    <w:p>
      <w:pPr>
        <w:spacing w:after="120"/>
      </w:pPr>
      <w:r>
        <w:rPr>
          <w:b/>
          <w:bCs/>
        </w:rPr>
        <w:t xml:space="preserve">Our recollection differs from the plan and we would like it checked before it is quoted. </w:t>
      </w:r>
      <w:r>
        <w:t xml:space="preserve">Our understanding is that the existing review interface already allows a reviewed logo to be added to FAISS with a single action, and that this is how we enriched the index while correcting videos. T75 describes that capability as not existing today and estimates a day and a half to build it.</w:t>
      </w:r>
    </w:p>
    <w:p>
      <w:pPr>
        <w:spacing w:after="120"/>
      </w:pPr>
      <w:r>
        <w:rPr>
          <w:b/>
          <w:bCs/>
        </w:rPr>
        <w:t xml:space="preserve">Two things in your own findings point the same way. </w:t>
      </w:r>
      <w:r>
        <w:t xml:space="preserve">The audit found 27 vectors for Rai Sport and Verisure with no identified source, which we attributed to our manual enrichment during correction work — that enrichment happened through some interface, and the review screen is where the correction was done. Separately, T55 records eight enrolment call sites in the FAISS manager, which is more than a single manual tool would normally need and suggests enrolment is reachable from more than one place.</w:t>
      </w:r>
    </w:p>
    <w:p>
      <w:pPr>
        <w:spacing w:after="120"/>
      </w:pPr>
      <w:r>
        <w:rPr>
          <w:b/>
          <w:bCs/>
        </w:rPr>
        <w:t xml:space="preserve">We may be recalling the FAISS manager rather than the review screen, and we are not asserting the plan is wrong. </w:t>
      </w:r>
      <w:r>
        <w:t xml:space="preserve">What we would like before this is scoped is the specific answer: which screen, which code path, and what that action does today. If enrolment from the review interface already exists, then T55 already covers routing it through the instrumented method and adding provenance, and T75 reduces to very little. If it genuinely does not exist there, please tell us what we were using, since something wrote those vectors.</w:t>
      </w:r>
    </w:p>
    <w:p>
      <w:pPr>
        <w:spacing w:after="120"/>
      </w:pPr>
      <w:r>
        <w:rPr>
          <w:b/>
          <w:bCs/>
        </w:rPr>
        <w:t xml:space="preserve">Our position on the capability itself is unchanged and it matters. </w:t>
      </w:r>
      <w:r>
        <w:t xml:space="preserve">Given that only 26 of our 321 brands are in the index, enrolment from the review workflow is the mechanism by which FAISS becomes useful at all. We want it working and instrumented. We are asking what it costs, not whether we want it.</w:t>
      </w:r>
    </w:p>
    <w:p>
      <w:pPr>
        <w:pStyle w:val="Heading1"/>
        <w:keepNext/>
        <w:keepLines/>
        <w:spacing w:after="120" w:before="280"/>
      </w:pPr>
      <w:r>
        <w:t xml:space="preserve">4. Items we are still checking</w:t>
      </w:r>
    </w:p>
    <w:p>
      <w:pPr>
        <w:pStyle w:val="ListParagraph"/>
        <w:numPr>
          <w:ilvl w:val="0"/>
          <w:numId w:val="2"/>
        </w:numPr>
        <w:spacing w:after="80"/>
      </w:pPr>
      <w:r>
        <w:rPr>
          <w:b/>
          <w:bCs/>
        </w:rPr>
        <w:t xml:space="preserve">The Roboflow frame-sampling rate. </w:t>
      </w:r>
      <w:r>
        <w:t xml:space="preserve">We believe it was one frame per second and are confirming against our own material. Please do not rely on that figure until we confirm it: take one of the 40 source videos, extract at one frame per second, and check whether the Nth extracted frame matches image N in the export. If it does not, the real rate falls out of the comparison. A wrong assumption here would silently corrupt every label mapping in route three.</w:t>
      </w:r>
    </w:p>
    <w:p>
      <w:pPr>
        <w:pStyle w:val="ListParagraph"/>
        <w:numPr>
          <w:ilvl w:val="0"/>
          <w:numId w:val="2"/>
        </w:numPr>
        <w:spacing w:after="80"/>
      </w:pPr>
      <w:r>
        <w:rPr>
          <w:b/>
          <w:bCs/>
        </w:rPr>
        <w:t xml:space="preserve">Which of the 40 source videos we hold. </w:t>
      </w:r>
      <w:r>
        <w:t xml:space="preserve">We believe we still hold all of them and are confirming. Please nominate the three to five you want for route three based on labelled box density, since you can see the per-video counts in the export and we cannot.</w:t>
      </w:r>
    </w:p>
    <w:p>
      <w:pPr>
        <w:pStyle w:val="Heading1"/>
        <w:keepNext/>
        <w:keepLines/>
        <w:spacing w:after="120" w:before="280"/>
      </w:pPr>
      <w:r>
        <w:t xml:space="preserve">5. Fresh videos — timing</w:t>
      </w:r>
    </w:p>
    <w:p>
      <w:pPr>
        <w:spacing w:after="120"/>
      </w:pPr>
      <w:r>
        <w:t xml:space="preserve">We will supply them in the form set out under A7: MP4, H.264, AAC, original resolution and frame rate, no re-encoding or trimming, audio intact, one Google Drive sub-folder per video named with the identifier to be carried on the rows.</w:t>
      </w:r>
    </w:p>
    <w:p>
      <w:pPr>
        <w:spacing w:after="120"/>
      </w:pPr>
      <w:r>
        <w:rPr>
          <w:b/>
          <w:bCs/>
        </w:rPr>
        <w:t xml:space="preserve">On timing, taking your own risk note seriously. </w:t>
      </w:r>
      <w:r>
        <w:t xml:space="preserve">These are not needed to build, but you have flagged that if they arrive after Group 7 then T47, T60, the recall figure and the Rule 5 measurement all move to the final week regardless of pipeline progress. We would rather not create that compression. Target is delivery by the time Group 7 begins — please give us a week's notice as that approaches and we will have them ready. If the schedule moves, tell us and we will move with it.</w:t>
      </w:r>
    </w:p>
    <w:p>
      <w:pPr>
        <w:pStyle w:val="Heading1"/>
        <w:keepNext/>
        <w:keepLines/>
        <w:spacing w:after="120" w:before="280"/>
      </w:pPr>
      <w:r>
        <w:t xml:space="preserve">6. Timeline — the figures do not reconcile</w:t>
      </w:r>
    </w:p>
    <w:p>
      <w:pPr>
        <w:spacing w:after="120"/>
      </w:pPr>
      <w:r>
        <w:rPr>
          <w:b/>
          <w:bCs/>
        </w:rPr>
        <w:t xml:space="preserve">Section 7 gives 48 working days for one developer and an M3 close of two to three weeks. </w:t>
      </w:r>
      <w:r>
        <w:t xml:space="preserve">Forty-eight working days is approximately ten weeks. Those two statements cannot both hold unless several developers are working in parallel, which the document does not state. Please clarify:</w:t>
      </w:r>
    </w:p>
    <w:p>
      <w:pPr>
        <w:pStyle w:val="ListParagraph"/>
        <w:numPr>
          <w:ilvl w:val="0"/>
          <w:numId w:val="2"/>
        </w:numPr>
        <w:spacing w:after="80"/>
      </w:pPr>
      <w:r>
        <w:t xml:space="preserve">How many developers are working on M3, and whether the group estimates assume one or several.</w:t>
      </w:r>
    </w:p>
    <w:p>
      <w:pPr>
        <w:pStyle w:val="ListParagraph"/>
        <w:numPr>
          <w:ilvl w:val="0"/>
          <w:numId w:val="2"/>
        </w:numPr>
        <w:spacing w:after="80"/>
      </w:pPr>
      <w:r>
        <w:t xml:space="preserve">Whether 48 days is total effort or elapsed time.</w:t>
      </w:r>
    </w:p>
    <w:p>
      <w:pPr>
        <w:pStyle w:val="ListParagraph"/>
        <w:numPr>
          <w:ilvl w:val="0"/>
          <w:numId w:val="2"/>
        </w:numPr>
        <w:spacing w:after="80"/>
      </w:pPr>
      <w:r>
        <w:t xml:space="preserve">A calendar close date on that basis, as a forecast with the three named risks attached. We will treat it as a forecast and not as a commitment.</w:t>
      </w:r>
    </w:p>
    <w:p>
      <w:pPr>
        <w:spacing w:after="120"/>
      </w:pPr>
      <w:r>
        <w:rPr>
          <w:b/>
          <w:bCs/>
        </w:rPr>
        <w:t xml:space="preserve">We are not pressing for speed. </w:t>
      </w:r>
      <w:r>
        <w:t xml:space="preserve">We would rather this milestone was built properly than quickly, and the verification work you have just done is a good use of the time. But we need a realistic date rather than an optimistic one, because our own commitments depend on it and because two of the three risks you named — the labelling and the videos — are ours to manage and we can only schedule them against a real date.</w:t>
      </w:r>
    </w:p>
    <w:p>
      <w:pPr>
        <w:pStyle w:val="Heading1"/>
        <w:keepNext/>
        <w:keepLines/>
        <w:spacing w:after="120" w:before="280"/>
      </w:pPr>
      <w:r>
        <w:t xml:space="preserve">7. A checkpoint request</w:t>
      </w:r>
    </w:p>
    <w:p>
      <w:pPr>
        <w:spacing w:after="120"/>
      </w:pPr>
      <w:r>
        <w:rPr>
          <w:b/>
          <w:bCs/>
        </w:rPr>
        <w:t xml:space="preserve">We would like to run a video end to end and look at the output before the evaluation layer is built. </w:t>
      </w:r>
      <w:r>
        <w:t xml:space="preserve">Concretely: after Groups 1, 2, 6 and 9 are complete, one video processed from the YAML through to annotated frames loading in the review interface. Not a formal deliverable, not a milestone gate, and not a request to reorder anything you have sequenced.</w:t>
      </w:r>
    </w:p>
    <w:p>
      <w:pPr>
        <w:spacing w:after="120"/>
      </w:pPr>
      <w:r>
        <w:rPr>
          <w:b/>
          <w:bCs/>
        </w:rPr>
        <w:t xml:space="preserve">The reason is that a design problem is far cheaper to find by watching the system run than by reading a metric built on top of it. </w:t>
      </w:r>
      <w:r>
        <w:t xml:space="preserve">The specification rounds have been valuable and have caught real defects, but they have also gone on for some weeks without either side seeing the system work. If something in the routing or the output is wrong, we would rather find it before Group 10 is written against it.</w:t>
      </w:r>
    </w:p>
    <w:p>
      <w:pPr>
        <w:pStyle w:val="Heading1"/>
        <w:keepNext/>
        <w:keepLines/>
        <w:spacing w:after="120" w:before="280"/>
      </w:pPr>
      <w:r>
        <w:t xml:space="preserve">8. Summary of what changes</w:t>
      </w:r>
    </w:p>
    <w:p>
      <w:pPr>
        <w:pStyle w:val="ListParagraph"/>
        <w:numPr>
          <w:ilvl w:val="0"/>
          <w:numId w:val="2"/>
        </w:numPr>
        <w:spacing w:after="80"/>
      </w:pPr>
      <w:r>
        <w:rPr>
          <w:b/>
          <w:bCs/>
        </w:rPr>
        <w:t xml:space="preserve">A8 </w:t>
      </w:r>
      <w:r>
        <w:t xml:space="preserve">— confirmed, 321-name Roboflow list as canonical, with a documented procedure for adding brands. T5 unblocked.</w:t>
      </w:r>
    </w:p>
    <w:p>
      <w:pPr>
        <w:pStyle w:val="ListParagraph"/>
        <w:numPr>
          <w:ilvl w:val="0"/>
          <w:numId w:val="2"/>
        </w:numPr>
        <w:spacing w:after="80"/>
      </w:pPr>
      <w:r>
        <w:rPr>
          <w:b/>
          <w:bCs/>
        </w:rPr>
        <w:t xml:space="preserve">Hinted pass </w:t>
      </w:r>
      <w:r>
        <w:t xml:space="preserve">— open-vocabulary variant with hints, not closed-set. One config value.</w:t>
      </w:r>
    </w:p>
    <w:p>
      <w:pPr>
        <w:pStyle w:val="ListParagraph"/>
        <w:numPr>
          <w:ilvl w:val="0"/>
          <w:numId w:val="2"/>
        </w:numPr>
        <w:spacing w:after="80"/>
      </w:pPr>
      <w:r>
        <w:rPr>
          <w:b/>
          <w:bCs/>
        </w:rPr>
        <w:t xml:space="preserve">Frame sampling </w:t>
      </w:r>
      <w:r>
        <w:t xml:space="preserve">— fixed interval at two seconds, changeable by us in the YAML without a code change.</w:t>
      </w:r>
    </w:p>
    <w:p>
      <w:pPr>
        <w:pStyle w:val="ListParagraph"/>
        <w:numPr>
          <w:ilvl w:val="0"/>
          <w:numId w:val="2"/>
        </w:numPr>
        <w:spacing w:after="80"/>
      </w:pPr>
      <w:r>
        <w:rPr>
          <w:b/>
          <w:bCs/>
        </w:rPr>
        <w:t xml:space="preserve">min_merge_area </w:t>
      </w:r>
      <w:r>
        <w:t xml:space="preserve">— 0.0004 confirmed as a placeholder, set from T19; err high if ambiguous.</w:t>
      </w:r>
    </w:p>
    <w:p>
      <w:pPr>
        <w:pStyle w:val="ListParagraph"/>
        <w:numPr>
          <w:ilvl w:val="0"/>
          <w:numId w:val="2"/>
        </w:numPr>
        <w:spacing w:after="80"/>
      </w:pPr>
      <w:r>
        <w:rPr>
          <w:b/>
          <w:bCs/>
        </w:rPr>
        <w:t xml:space="preserve">T54 </w:t>
      </w:r>
      <w:r>
        <w:t xml:space="preserve">— report accuracy and distributions separately for brands present in the index and brands absent from it, with counts.</w:t>
      </w:r>
    </w:p>
    <w:p>
      <w:pPr>
        <w:pStyle w:val="ListParagraph"/>
        <w:numPr>
          <w:ilvl w:val="0"/>
          <w:numId w:val="2"/>
        </w:numPr>
        <w:spacing w:after="80"/>
      </w:pPr>
      <w:r>
        <w:rPr>
          <w:b/>
          <w:bCs/>
        </w:rPr>
        <w:t xml:space="preserve">T61, T57, T74 </w:t>
      </w:r>
      <w:r>
        <w:t xml:space="preserve">— the M3 run over video_1 produces the corpus and replaces the 1,739 rows. No backfilling onto the old rows. The route-two label request is drawn from the new run's distribution.</w:t>
      </w:r>
    </w:p>
    <w:p>
      <w:pPr>
        <w:pStyle w:val="ListParagraph"/>
        <w:numPr>
          <w:ilvl w:val="0"/>
          <w:numId w:val="2"/>
        </w:numPr>
        <w:spacing w:after="80"/>
      </w:pPr>
      <w:r>
        <w:rPr>
          <w:b/>
          <w:bCs/>
        </w:rPr>
        <w:t xml:space="preserve">T75 </w:t>
      </w:r>
      <w:r>
        <w:t xml:space="preserve">— held pending your answer on which screen and code path enrolment uses today. We want the capability; we are questioning the scope.</w:t>
      </w:r>
    </w:p>
    <w:p>
      <w:pPr>
        <w:pStyle w:val="ListParagraph"/>
        <w:numPr>
          <w:ilvl w:val="0"/>
          <w:numId w:val="2"/>
        </w:numPr>
        <w:spacing w:after="80"/>
      </w:pPr>
      <w:r>
        <w:rPr>
          <w:b/>
          <w:bCs/>
        </w:rPr>
        <w:t xml:space="preserve">Outstanding from us </w:t>
      </w:r>
      <w:r>
        <w:t xml:space="preserve">— the Roboflow sampling rate, the source-video list, the fresh videos by the start of Group 7, the T9 schema confirmation within one round, and the route-two label count once the decision distribution is published.</w:t>
      </w:r>
    </w:p>
    <w:p>
      <w:pPr>
        <w:pStyle w:val="ListParagraph"/>
        <w:numPr>
          <w:ilvl w:val="0"/>
          <w:numId w:val="2"/>
        </w:numPr>
        <w:spacing w:after="80"/>
      </w:pPr>
      <w:r>
        <w:rPr>
          <w:b/>
          <w:bCs/>
        </w:rPr>
        <w:t xml:space="preserve">Outstanding from you </w:t>
      </w:r>
      <w:r>
        <w:t xml:space="preserve">— the timeline clarification above, and the dates in Section 7 on that basis.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2026-09-06T12:04:17.447Z</dcterms:created>
  <dcterms:modified xsi:type="dcterms:W3CDTF">2026-09-06T12:04:17.458Z</dcterms:modified>
</cp:coreProperties>
</file>

<file path=docProps/custom.xml><?xml version="1.0" encoding="utf-8"?>
<Properties xmlns="http://schemas.openxmlformats.org/officeDocument/2006/custom-properties" xmlns:vt="http://schemas.openxmlformats.org/officeDocument/2006/docPropsVTypes"/>
</file>