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خطة التطوير الشاملة</w:t>
      </w:r>
    </w:p>
    <w:p>
      <w:pPr>
        <w:jc w:val="center"/>
      </w:pPr>
      <w:r>
        <w:rPr>
          <w:b/>
          <w:bCs/>
          <w:color w:val="2E5090"/>
          <w:sz w:val="32"/>
          <w:szCs w:val="32"/>
        </w:rPr>
        <w:t xml:space="preserve">بوت محلل الأسهم - البورصة المصرية</w:t>
      </w:r>
    </w:p>
    <w:p>
      <w:pPr>
        <w:spacing w:after="240"/>
        <w:jc w:val="center"/>
      </w:pPr>
      <w:r>
        <w:rPr>
          <w:sz w:val="24"/>
          <w:szCs w:val="24"/>
        </w:rPr>
        <w:t xml:space="preserve">إصدار 1.0 - 2025</w:t>
      </w:r>
    </w:p>
    <w:p>
      <w:pPr>
        <w:pStyle w:val="Heading1"/>
      </w:pPr>
      <w:r>
        <w:t xml:space="preserve">جدول المحتويات</w:t>
      </w:r>
    </w:p>
    <w:p>
      <w:pPr>
        <w:pStyle w:val="ListParagraph"/>
        <w:numPr>
          <w:ilvl w:val="0"/>
          <w:numId w:val="2"/>
        </w:numPr>
      </w:pPr>
      <w:r>
        <w:t xml:space="preserve">نظرة عامة على المشروع</w:t>
      </w:r>
    </w:p>
    <w:p>
      <w:pPr>
        <w:pStyle w:val="ListParagraph"/>
        <w:numPr>
          <w:ilvl w:val="0"/>
          <w:numId w:val="2"/>
        </w:numPr>
      </w:pPr>
      <w:r>
        <w:t xml:space="preserve">المرحلة الأولى: البنية الأساسية</w:t>
      </w:r>
    </w:p>
    <w:p>
      <w:pPr>
        <w:pStyle w:val="ListParagraph"/>
        <w:numPr>
          <w:ilvl w:val="0"/>
          <w:numId w:val="2"/>
        </w:numPr>
      </w:pPr>
      <w:r>
        <w:t xml:space="preserve">المرحلة الثانية: المؤشرات الفنية المتقدمة</w:t>
      </w:r>
    </w:p>
    <w:p>
      <w:pPr>
        <w:pStyle w:val="ListParagraph"/>
        <w:numPr>
          <w:ilvl w:val="0"/>
          <w:numId w:val="2"/>
        </w:numPr>
      </w:pPr>
      <w:r>
        <w:t xml:space="preserve">المرحلة الثالثة: نظام التنبيهات والإشعارات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المرحلة الرابعة: المحفظة والتقارير</w:t>
      </w:r>
    </w:p>
    <w:p>
      <w:pPr>
        <w:pStyle w:val="Heading1"/>
      </w:pPr>
      <w:r>
        <w:t xml:space="preserve">1. نظرة عامة على المشروع</w:t>
      </w:r>
    </w:p>
    <w:p>
      <w:pPr>
        <w:spacing w:after="120"/>
      </w:pPr>
      <w:r>
        <w:rPr>
          <w:b/>
          <w:bCs/>
        </w:rPr>
        <w:t xml:space="preserve">الرؤية:</w:t>
      </w:r>
    </w:p>
    <w:p>
      <w:pPr>
        <w:pStyle w:val="ListParagraph"/>
        <w:numPr>
          <w:ilvl w:val="0"/>
          <w:numId w:val="3"/>
        </w:numPr>
      </w:pPr>
      <w:r>
        <w:t xml:space="preserve">بناء منصة متكاملة لتحليل ومراقبة الأسهم في البورصة المصرية</w:t>
      </w:r>
    </w:p>
    <w:p>
      <w:pPr>
        <w:pStyle w:val="ListParagraph"/>
        <w:numPr>
          <w:ilvl w:val="0"/>
          <w:numId w:val="3"/>
        </w:numPr>
      </w:pPr>
      <w:r>
        <w:t xml:space="preserve">توفير أدوات فنية متقدمة لاتخاذ قرارات استثمارية مدروسة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تمكين المستثمرين من متابعة محافظهم الاستثمارية بشكل احترافي</w:t>
      </w:r>
    </w:p>
    <w:p>
      <w:pPr>
        <w:spacing w:after="120"/>
      </w:pPr>
      <w:r>
        <w:rPr>
          <w:b/>
          <w:bCs/>
        </w:rPr>
        <w:t xml:space="preserve">الأهداف الرئيسية:</w:t>
      </w:r>
    </w:p>
    <w:p>
      <w:pPr>
        <w:pStyle w:val="ListParagraph"/>
        <w:numPr>
          <w:ilvl w:val="0"/>
          <w:numId w:val="3"/>
        </w:numPr>
      </w:pPr>
      <w:r>
        <w:t xml:space="preserve">توفير بيانات لحظية دقيقة لأسهم البورصة المصرية</w:t>
      </w:r>
    </w:p>
    <w:p>
      <w:pPr>
        <w:pStyle w:val="ListParagraph"/>
        <w:numPr>
          <w:ilvl w:val="0"/>
          <w:numId w:val="3"/>
        </w:numPr>
      </w:pPr>
      <w:r>
        <w:t xml:space="preserve">عرض مؤشرات فنية وأساسية شاملة</w:t>
      </w:r>
    </w:p>
    <w:p>
      <w:pPr>
        <w:pStyle w:val="ListParagraph"/>
        <w:numPr>
          <w:ilvl w:val="0"/>
          <w:numId w:val="3"/>
        </w:numPr>
      </w:pPr>
      <w:r>
        <w:t xml:space="preserve">نظام تنبيهات ذكي للفرص الاستثمارية</w:t>
      </w:r>
    </w:p>
    <w:p>
      <w:pPr>
        <w:pStyle w:val="ListParagraph"/>
        <w:numPr>
          <w:ilvl w:val="0"/>
          <w:numId w:val="3"/>
        </w:numPr>
      </w:pPr>
      <w:r>
        <w:t xml:space="preserve">إدارة محفظة استثمارية متقدمة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تقارير تحليلية شاملة ودورية</w:t>
      </w:r>
    </w:p>
    <w:p>
      <w:pPr>
        <w:spacing w:after="120"/>
      </w:pPr>
      <w:r>
        <w:rPr>
          <w:b/>
          <w:bCs/>
        </w:rPr>
        <w:t xml:space="preserve">الفئات المستهدفة:</w:t>
      </w:r>
    </w:p>
    <w:p>
      <w:pPr>
        <w:pStyle w:val="ListParagraph"/>
        <w:numPr>
          <w:ilvl w:val="0"/>
          <w:numId w:val="3"/>
        </w:numPr>
      </w:pPr>
      <w:r>
        <w:t xml:space="preserve">المستثمرون الأفراد</w:t>
      </w:r>
    </w:p>
    <w:p>
      <w:pPr>
        <w:pStyle w:val="ListParagraph"/>
        <w:numPr>
          <w:ilvl w:val="0"/>
          <w:numId w:val="3"/>
        </w:numPr>
      </w:pPr>
      <w:r>
        <w:t xml:space="preserve">مديرو المحافظ</w:t>
      </w:r>
    </w:p>
    <w:p>
      <w:pPr>
        <w:pStyle w:val="ListParagraph"/>
        <w:numPr>
          <w:ilvl w:val="0"/>
          <w:numId w:val="3"/>
        </w:numPr>
      </w:pPr>
      <w:r>
        <w:t xml:space="preserve">المحللون الماليون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شركات الوساطة والاستثمار</w:t>
      </w:r>
    </w:p>
    <w:p>
      <w:pPr>
        <w:pStyle w:val="Heading1"/>
      </w:pPr>
      <w:r>
        <w:t xml:space="preserve">2. المرحلة الأولى: البنية الأساسية</w:t>
      </w:r>
    </w:p>
    <w:p>
      <w:pPr>
        <w:pStyle w:val="Heading2"/>
      </w:pPr>
      <w:r>
        <w:t xml:space="preserve">2.1 واجهة المستخدم الرئيسية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المكون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الوصف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الأولوية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المدة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لوحة التحكم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عرض ملخص الأسهم الرئيسية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عالية جداً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أيام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قائمة الأسهم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جدول شامل لبيانات جميع الأسهم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عالية جداً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 أيام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صفحة السهم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تفاصيل شاملة لكل سهم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عالية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أيام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2.2 نظام إدارة البيانات</w:t>
      </w:r>
    </w:p>
    <w:p>
      <w:pPr>
        <w:pStyle w:val="ListParagraph"/>
        <w:numPr>
          <w:ilvl w:val="0"/>
          <w:numId w:val="3"/>
        </w:numPr>
      </w:pPr>
      <w:r>
        <w:t xml:space="preserve">قاعدة بيانات محلية (SQLite / MongoDB)</w:t>
      </w:r>
    </w:p>
    <w:p>
      <w:pPr>
        <w:pStyle w:val="ListParagraph"/>
        <w:numPr>
          <w:ilvl w:val="0"/>
          <w:numId w:val="3"/>
        </w:numPr>
      </w:pPr>
      <w:r>
        <w:t xml:space="preserve">نظام التخزين المؤقت (Cache System)</w:t>
      </w:r>
    </w:p>
    <w:p>
      <w:pPr>
        <w:pStyle w:val="ListParagraph"/>
        <w:numPr>
          <w:ilvl w:val="0"/>
          <w:numId w:val="3"/>
        </w:numPr>
      </w:pPr>
      <w:r>
        <w:t xml:space="preserve">نظام تحديث البيانات اللحظي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معالجة البيانات التاريخية</w:t>
      </w:r>
    </w:p>
    <w:p>
      <w:pPr>
        <w:pStyle w:val="Heading2"/>
      </w:pPr>
      <w:r>
        <w:t xml:space="preserve">2.3 واجهة برمجية (API)</w:t>
      </w:r>
    </w:p>
    <w:p>
      <w:pPr>
        <w:pStyle w:val="ListParagraph"/>
        <w:numPr>
          <w:ilvl w:val="0"/>
          <w:numId w:val="3"/>
        </w:numPr>
      </w:pPr>
      <w:r>
        <w:t xml:space="preserve">نقطة نهاية لجلب بيانات الأسهم</w:t>
      </w:r>
    </w:p>
    <w:p>
      <w:pPr>
        <w:pStyle w:val="ListParagraph"/>
        <w:numPr>
          <w:ilvl w:val="0"/>
          <w:numId w:val="3"/>
        </w:numPr>
      </w:pPr>
      <w:r>
        <w:t xml:space="preserve">نقطة نهاية للبحث والفلترة</w:t>
      </w:r>
    </w:p>
    <w:p>
      <w:pPr>
        <w:pStyle w:val="ListParagraph"/>
        <w:numPr>
          <w:ilvl w:val="0"/>
          <w:numId w:val="3"/>
        </w:numPr>
      </w:pPr>
      <w:r>
        <w:t xml:space="preserve">نقطة نهاية للحصول على التفاصيل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نقاط نهاية للمحفظة والتنبيهات</w:t>
      </w:r>
    </w:p>
    <w:p>
      <w:pPr>
        <w:pStyle w:val="Heading1"/>
      </w:pPr>
      <w:r>
        <w:t xml:space="preserve">3. المرحلة الثانية: المؤشرات الفنية المتقدمة</w:t>
      </w:r>
    </w:p>
    <w:p>
      <w:pPr>
        <w:pStyle w:val="Heading2"/>
      </w:pPr>
      <w:r>
        <w:t xml:space="preserve">3.1 المؤشرات الفنية الأساسية</w:t>
      </w:r>
    </w:p>
    <w:p>
      <w:pPr>
        <w:spacing w:after="120"/>
      </w:pPr>
      <w:r>
        <w:rPr>
          <w:b/>
          <w:bCs/>
        </w:rPr>
        <w:t xml:space="preserve">1. المتوسطات المتحركة (Moving Averages):</w:t>
      </w:r>
    </w:p>
    <w:p>
      <w:pPr>
        <w:pStyle w:val="ListParagraph"/>
        <w:numPr>
          <w:ilvl w:val="0"/>
          <w:numId w:val="3"/>
        </w:numPr>
      </w:pPr>
      <w:r>
        <w:t xml:space="preserve">SMA (Simple Moving Average)</w:t>
      </w:r>
    </w:p>
    <w:p>
      <w:pPr>
        <w:pStyle w:val="ListParagraph"/>
        <w:numPr>
          <w:ilvl w:val="0"/>
          <w:numId w:val="3"/>
        </w:numPr>
      </w:pPr>
      <w:r>
        <w:t xml:space="preserve">EMA (Exponential Moving Average)</w:t>
      </w:r>
    </w:p>
    <w:p>
      <w:pPr>
        <w:pStyle w:val="ListParagraph"/>
        <w:numPr>
          <w:ilvl w:val="0"/>
          <w:numId w:val="3"/>
        </w:numPr>
      </w:pPr>
      <w:r>
        <w:t xml:space="preserve">فترات زمنية: 20، 50، 200 يوم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إشارات الشراء والبيع</w:t>
      </w:r>
    </w:p>
    <w:p>
      <w:pPr>
        <w:spacing w:after="120"/>
      </w:pPr>
      <w:r>
        <w:rPr>
          <w:b/>
          <w:bCs/>
        </w:rPr>
        <w:t xml:space="preserve">2. مؤشر القوة النسبية (RSI):</w:t>
      </w:r>
    </w:p>
    <w:p>
      <w:pPr>
        <w:pStyle w:val="ListParagraph"/>
        <w:numPr>
          <w:ilvl w:val="0"/>
          <w:numId w:val="3"/>
        </w:numPr>
      </w:pPr>
      <w:r>
        <w:t xml:space="preserve">فترة زمنية: 14 يوم</w:t>
      </w:r>
    </w:p>
    <w:p>
      <w:pPr>
        <w:pStyle w:val="ListParagraph"/>
        <w:numPr>
          <w:ilvl w:val="0"/>
          <w:numId w:val="3"/>
        </w:numPr>
      </w:pPr>
      <w:r>
        <w:t xml:space="preserve">مستويات الشراء الزائد والبيع الزائد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اكتشاف الاختلافات (Divergences)</w:t>
      </w:r>
    </w:p>
    <w:p>
      <w:pPr>
        <w:spacing w:after="120"/>
      </w:pPr>
      <w:r>
        <w:rPr>
          <w:b/>
          <w:bCs/>
        </w:rPr>
        <w:t xml:space="preserve">3. مؤشر MACD:</w:t>
      </w:r>
    </w:p>
    <w:p>
      <w:pPr>
        <w:pStyle w:val="ListParagraph"/>
        <w:numPr>
          <w:ilvl w:val="0"/>
          <w:numId w:val="3"/>
        </w:numPr>
      </w:pPr>
      <w:r>
        <w:t xml:space="preserve">خط MACD</w:t>
      </w:r>
    </w:p>
    <w:p>
      <w:pPr>
        <w:pStyle w:val="ListParagraph"/>
        <w:numPr>
          <w:ilvl w:val="0"/>
          <w:numId w:val="3"/>
        </w:numPr>
      </w:pPr>
      <w:r>
        <w:t xml:space="preserve">خط الإشارة (Signal Line)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رسم بياني MACD</w:t>
      </w:r>
    </w:p>
    <w:p>
      <w:pPr>
        <w:spacing w:after="120"/>
      </w:pPr>
      <w:r>
        <w:rPr>
          <w:b/>
          <w:bCs/>
        </w:rPr>
        <w:t xml:space="preserve">4. نطاقات بولينجر (Bollinger Bands):</w:t>
      </w:r>
    </w:p>
    <w:p>
      <w:pPr>
        <w:pStyle w:val="ListParagraph"/>
        <w:numPr>
          <w:ilvl w:val="0"/>
          <w:numId w:val="3"/>
        </w:numPr>
      </w:pPr>
      <w:r>
        <w:t xml:space="preserve">النطاق العلوي والسفلي</w:t>
      </w:r>
    </w:p>
    <w:p>
      <w:pPr>
        <w:pStyle w:val="ListParagraph"/>
        <w:numPr>
          <w:ilvl w:val="0"/>
          <w:numId w:val="3"/>
        </w:numPr>
      </w:pPr>
      <w:r>
        <w:t xml:space="preserve">الوسط المتحرك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اختراقات النطاق</w:t>
      </w:r>
    </w:p>
    <w:p>
      <w:pPr>
        <w:pStyle w:val="Heading2"/>
      </w:pPr>
      <w:r>
        <w:t xml:space="preserve">3.2 المؤشرات الأساسية المتقدمة</w:t>
      </w:r>
    </w:p>
    <w:p>
      <w:pPr>
        <w:pStyle w:val="ListParagraph"/>
        <w:numPr>
          <w:ilvl w:val="0"/>
          <w:numId w:val="3"/>
        </w:numPr>
      </w:pPr>
      <w:r>
        <w:t xml:space="preserve">نسبة الدين إلى حقوق الملكية</w:t>
      </w:r>
    </w:p>
    <w:p>
      <w:pPr>
        <w:pStyle w:val="ListParagraph"/>
        <w:numPr>
          <w:ilvl w:val="0"/>
          <w:numId w:val="3"/>
        </w:numPr>
      </w:pPr>
      <w:r>
        <w:t xml:space="preserve">هامش الربح (Profit Margin)</w:t>
      </w:r>
    </w:p>
    <w:p>
      <w:pPr>
        <w:pStyle w:val="ListParagraph"/>
        <w:numPr>
          <w:ilvl w:val="0"/>
          <w:numId w:val="3"/>
        </w:numPr>
      </w:pPr>
      <w:r>
        <w:t xml:space="preserve">العائد على حقوق الملكية (ROE)</w:t>
      </w:r>
    </w:p>
    <w:p>
      <w:pPr>
        <w:pStyle w:val="ListParagraph"/>
        <w:numPr>
          <w:ilvl w:val="0"/>
          <w:numId w:val="3"/>
        </w:numPr>
      </w:pPr>
      <w:r>
        <w:t xml:space="preserve">نسبة السعر إلى القيمة الدفترية (P/B)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معدل النمو المتوقع</w:t>
      </w:r>
    </w:p>
    <w:p>
      <w:pPr>
        <w:pStyle w:val="Heading2"/>
      </w:pPr>
      <w:r>
        <w:t xml:space="preserve">3.3 الرسوم البيانية</w:t>
      </w:r>
    </w:p>
    <w:p>
      <w:pPr>
        <w:pStyle w:val="ListParagraph"/>
        <w:numPr>
          <w:ilvl w:val="0"/>
          <w:numId w:val="3"/>
        </w:numPr>
      </w:pPr>
      <w:r>
        <w:t xml:space="preserve">مخططات الشموع (Candlestick Charts)</w:t>
      </w:r>
    </w:p>
    <w:p>
      <w:pPr>
        <w:pStyle w:val="ListParagraph"/>
        <w:numPr>
          <w:ilvl w:val="0"/>
          <w:numId w:val="3"/>
        </w:numPr>
      </w:pPr>
      <w:r>
        <w:t xml:space="preserve">مخططات الأعمدة (Bar Charts)</w:t>
      </w:r>
    </w:p>
    <w:p>
      <w:pPr>
        <w:pStyle w:val="ListParagraph"/>
        <w:numPr>
          <w:ilvl w:val="0"/>
          <w:numId w:val="3"/>
        </w:numPr>
      </w:pPr>
      <w:r>
        <w:t xml:space="preserve">رسوم المؤشرات الفنية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فترات زمنية متعددة (يومي، أسبوعي، شهري)</w:t>
      </w:r>
    </w:p>
    <w:p>
      <w:pPr>
        <w:pStyle w:val="Heading1"/>
      </w:pPr>
      <w:r>
        <w:t xml:space="preserve">4. المرحلة الثالثة: نظام التنبيهات والإشعارات</w:t>
      </w:r>
    </w:p>
    <w:p>
      <w:pPr>
        <w:pStyle w:val="Heading2"/>
      </w:pPr>
      <w:r>
        <w:t xml:space="preserve">4.1 أنواع التنبيهات</w:t>
      </w:r>
    </w:p>
    <w:p>
      <w:pPr>
        <w:spacing w:after="120"/>
      </w:pPr>
      <w:r>
        <w:rPr>
          <w:b/>
          <w:bCs/>
        </w:rPr>
        <w:t xml:space="preserve">تنبيهات السعر:</w:t>
      </w:r>
    </w:p>
    <w:p>
      <w:pPr>
        <w:pStyle w:val="ListParagraph"/>
        <w:numPr>
          <w:ilvl w:val="0"/>
          <w:numId w:val="3"/>
        </w:numPr>
      </w:pPr>
      <w:r>
        <w:t xml:space="preserve">تنبيه عند الوصول إلى سعر معين</w:t>
      </w:r>
    </w:p>
    <w:p>
      <w:pPr>
        <w:pStyle w:val="ListParagraph"/>
        <w:numPr>
          <w:ilvl w:val="0"/>
          <w:numId w:val="3"/>
        </w:numPr>
      </w:pPr>
      <w:r>
        <w:t xml:space="preserve">تنبيه عند تجاوز نسبة تغير محددة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تنبيه عند الاختراق</w:t>
      </w:r>
    </w:p>
    <w:p>
      <w:pPr>
        <w:spacing w:after="120"/>
      </w:pPr>
      <w:r>
        <w:rPr>
          <w:b/>
          <w:bCs/>
        </w:rPr>
        <w:t xml:space="preserve">تنبيهات فنية:</w:t>
      </w:r>
    </w:p>
    <w:p>
      <w:pPr>
        <w:pStyle w:val="ListParagraph"/>
        <w:numPr>
          <w:ilvl w:val="0"/>
          <w:numId w:val="3"/>
        </w:numPr>
      </w:pPr>
      <w:r>
        <w:t xml:space="preserve">تنبيهات تقاطع المتوسطات المتحركة</w:t>
      </w:r>
    </w:p>
    <w:p>
      <w:pPr>
        <w:pStyle w:val="ListParagraph"/>
        <w:numPr>
          <w:ilvl w:val="0"/>
          <w:numId w:val="3"/>
        </w:numPr>
      </w:pPr>
      <w:r>
        <w:t xml:space="preserve">تنبيهات RSI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تنبيهات نطاقات بولينجر</w:t>
      </w:r>
    </w:p>
    <w:p>
      <w:pPr>
        <w:spacing w:after="120"/>
      </w:pPr>
      <w:r>
        <w:rPr>
          <w:b/>
          <w:bCs/>
        </w:rPr>
        <w:t xml:space="preserve">تنبيهات أساسية:</w:t>
      </w:r>
    </w:p>
    <w:p>
      <w:pPr>
        <w:pStyle w:val="ListParagraph"/>
        <w:numPr>
          <w:ilvl w:val="0"/>
          <w:numId w:val="3"/>
        </w:numPr>
      </w:pPr>
      <w:r>
        <w:t xml:space="preserve">تنبيهات أرباح الأسهم</w:t>
      </w:r>
    </w:p>
    <w:p>
      <w:pPr>
        <w:pStyle w:val="ListParagraph"/>
        <w:numPr>
          <w:ilvl w:val="0"/>
          <w:numId w:val="3"/>
        </w:numPr>
      </w:pPr>
      <w:r>
        <w:t xml:space="preserve">تنبيهات النتائج المالية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تنبيهات تغيير التصنيفات</w:t>
      </w:r>
    </w:p>
    <w:p>
      <w:pPr>
        <w:pStyle w:val="Heading2"/>
      </w:pPr>
      <w:r>
        <w:t xml:space="preserve">4.2 قنوات التنبيهات</w:t>
      </w:r>
    </w:p>
    <w:p>
      <w:pPr>
        <w:pStyle w:val="ListParagraph"/>
        <w:numPr>
          <w:ilvl w:val="0"/>
          <w:numId w:val="3"/>
        </w:numPr>
      </w:pPr>
      <w:r>
        <w:t xml:space="preserve">إشعارات داخل التطبيق (In-App)</w:t>
      </w:r>
    </w:p>
    <w:p>
      <w:pPr>
        <w:pStyle w:val="ListParagraph"/>
        <w:numPr>
          <w:ilvl w:val="0"/>
          <w:numId w:val="3"/>
        </w:numPr>
      </w:pPr>
      <w:r>
        <w:t xml:space="preserve">رسائل بريد إلكتروني</w:t>
      </w:r>
    </w:p>
    <w:p>
      <w:pPr>
        <w:pStyle w:val="ListParagraph"/>
        <w:numPr>
          <w:ilvl w:val="0"/>
          <w:numId w:val="3"/>
        </w:numPr>
      </w:pPr>
      <w:r>
        <w:t xml:space="preserve">إشعارات SMS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إشعارات Telegram و WhatsApp</w:t>
      </w:r>
    </w:p>
    <w:p>
      <w:pPr>
        <w:pStyle w:val="Heading2"/>
      </w:pPr>
      <w:r>
        <w:t xml:space="preserve">4.3 مركز التحكم</w:t>
      </w:r>
    </w:p>
    <w:p>
      <w:pPr>
        <w:pStyle w:val="ListParagraph"/>
        <w:numPr>
          <w:ilvl w:val="0"/>
          <w:numId w:val="3"/>
        </w:numPr>
      </w:pPr>
      <w:r>
        <w:t xml:space="preserve">إنشاء وتحرير التنبيهات</w:t>
      </w:r>
    </w:p>
    <w:p>
      <w:pPr>
        <w:pStyle w:val="ListParagraph"/>
        <w:numPr>
          <w:ilvl w:val="0"/>
          <w:numId w:val="3"/>
        </w:numPr>
      </w:pPr>
      <w:r>
        <w:t xml:space="preserve">تفعيل وتعطيل التنبيهات</w:t>
      </w:r>
    </w:p>
    <w:p>
      <w:pPr>
        <w:pStyle w:val="ListParagraph"/>
        <w:numPr>
          <w:ilvl w:val="0"/>
          <w:numId w:val="3"/>
        </w:numPr>
      </w:pPr>
      <w:r>
        <w:t xml:space="preserve">سجل التنبيهات المشغلة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تخصيص قنوات الإخطار</w:t>
      </w:r>
    </w:p>
    <w:p>
      <w:pPr>
        <w:pStyle w:val="Heading1"/>
      </w:pPr>
      <w:r>
        <w:t xml:space="preserve">5. المرحلة الرابعة: المحفظة والتقارير</w:t>
      </w:r>
    </w:p>
    <w:p>
      <w:pPr>
        <w:pStyle w:val="Heading2"/>
      </w:pPr>
      <w:r>
        <w:t xml:space="preserve">5.1 إدارة المحفظة</w:t>
      </w:r>
    </w:p>
    <w:p>
      <w:pPr>
        <w:spacing w:after="120"/>
      </w:pPr>
      <w:r>
        <w:rPr>
          <w:b/>
          <w:bCs/>
        </w:rPr>
        <w:t xml:space="preserve">تتبع المحفظة:</w:t>
      </w:r>
    </w:p>
    <w:p>
      <w:pPr>
        <w:pStyle w:val="ListParagraph"/>
        <w:numPr>
          <w:ilvl w:val="0"/>
          <w:numId w:val="3"/>
        </w:numPr>
      </w:pPr>
      <w:r>
        <w:t xml:space="preserve">إضافة وحذف الأسهم من المحفظة</w:t>
      </w:r>
    </w:p>
    <w:p>
      <w:pPr>
        <w:pStyle w:val="ListParagraph"/>
        <w:numPr>
          <w:ilvl w:val="0"/>
          <w:numId w:val="3"/>
        </w:numPr>
      </w:pPr>
      <w:r>
        <w:t xml:space="preserve">تسجيل سعر الشراء والكمية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تتبع متوسط السعر</w:t>
      </w:r>
    </w:p>
    <w:p>
      <w:pPr>
        <w:spacing w:after="120"/>
      </w:pPr>
      <w:r>
        <w:rPr>
          <w:b/>
          <w:bCs/>
        </w:rPr>
        <w:t xml:space="preserve">حسابات الأداء:</w:t>
      </w:r>
    </w:p>
    <w:p>
      <w:pPr>
        <w:pStyle w:val="ListParagraph"/>
        <w:numPr>
          <w:ilvl w:val="0"/>
          <w:numId w:val="3"/>
        </w:numPr>
      </w:pPr>
      <w:r>
        <w:t xml:space="preserve">القيمة الحالية للمحفظة</w:t>
      </w:r>
    </w:p>
    <w:p>
      <w:pPr>
        <w:pStyle w:val="ListParagraph"/>
        <w:numPr>
          <w:ilvl w:val="0"/>
          <w:numId w:val="3"/>
        </w:numPr>
      </w:pPr>
      <w:r>
        <w:t xml:space="preserve">العائد الإجمالي والعائد المئوي</w:t>
      </w:r>
    </w:p>
    <w:p>
      <w:pPr>
        <w:pStyle w:val="ListParagraph"/>
        <w:numPr>
          <w:ilvl w:val="0"/>
          <w:numId w:val="3"/>
        </w:numPr>
      </w:pPr>
      <w:r>
        <w:t xml:space="preserve">الأرباح والخسائر غير المحققة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متوسط العائد السنوي</w:t>
      </w:r>
    </w:p>
    <w:p>
      <w:pPr>
        <w:spacing w:after="120"/>
      </w:pPr>
      <w:r>
        <w:rPr>
          <w:b/>
          <w:bCs/>
        </w:rPr>
        <w:t xml:space="preserve">توزيع المحفظة:</w:t>
      </w:r>
    </w:p>
    <w:p>
      <w:pPr>
        <w:pStyle w:val="ListParagraph"/>
        <w:numPr>
          <w:ilvl w:val="0"/>
          <w:numId w:val="3"/>
        </w:numPr>
      </w:pPr>
      <w:r>
        <w:t xml:space="preserve">نسبة كل سهم من إجمالي المحفظة</w:t>
      </w:r>
    </w:p>
    <w:p>
      <w:pPr>
        <w:pStyle w:val="ListParagraph"/>
        <w:numPr>
          <w:ilvl w:val="0"/>
          <w:numId w:val="3"/>
        </w:numPr>
      </w:pPr>
      <w:r>
        <w:t xml:space="preserve">رسم بياني تفاعلي للتوزيع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توصيات إعادة التوازن</w:t>
      </w:r>
    </w:p>
    <w:p>
      <w:pPr>
        <w:pStyle w:val="Heading2"/>
      </w:pPr>
      <w:r>
        <w:t xml:space="preserve">5.2 التقارير التحليلية</w:t>
      </w:r>
    </w:p>
    <w:p>
      <w:pPr>
        <w:spacing w:after="120"/>
      </w:pPr>
      <w:r>
        <w:rPr>
          <w:b/>
          <w:bCs/>
        </w:rPr>
        <w:t xml:space="preserve">التقارير الدورية:</w:t>
      </w:r>
    </w:p>
    <w:p>
      <w:pPr>
        <w:pStyle w:val="ListParagraph"/>
        <w:numPr>
          <w:ilvl w:val="0"/>
          <w:numId w:val="3"/>
        </w:numPr>
      </w:pPr>
      <w:r>
        <w:t xml:space="preserve">تقرير يومي</w:t>
      </w:r>
    </w:p>
    <w:p>
      <w:pPr>
        <w:pStyle w:val="ListParagraph"/>
        <w:numPr>
          <w:ilvl w:val="0"/>
          <w:numId w:val="3"/>
        </w:numPr>
      </w:pPr>
      <w:r>
        <w:t xml:space="preserve">تقرير أسبوعي</w:t>
      </w:r>
    </w:p>
    <w:p>
      <w:pPr>
        <w:pStyle w:val="ListParagraph"/>
        <w:numPr>
          <w:ilvl w:val="0"/>
          <w:numId w:val="3"/>
        </w:numPr>
      </w:pPr>
      <w:r>
        <w:t xml:space="preserve">تقرير شهري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تقرير سنوي</w:t>
      </w:r>
    </w:p>
    <w:p>
      <w:pPr>
        <w:spacing w:after="120"/>
      </w:pPr>
      <w:r>
        <w:rPr>
          <w:b/>
          <w:bCs/>
        </w:rPr>
        <w:t xml:space="preserve">محتويات التقرير:</w:t>
      </w:r>
    </w:p>
    <w:p>
      <w:pPr>
        <w:pStyle w:val="ListParagraph"/>
        <w:numPr>
          <w:ilvl w:val="0"/>
          <w:numId w:val="3"/>
        </w:numPr>
      </w:pPr>
      <w:r>
        <w:t xml:space="preserve">ملخص الأداء</w:t>
      </w:r>
    </w:p>
    <w:p>
      <w:pPr>
        <w:pStyle w:val="ListParagraph"/>
        <w:numPr>
          <w:ilvl w:val="0"/>
          <w:numId w:val="3"/>
        </w:numPr>
      </w:pPr>
      <w:r>
        <w:t xml:space="preserve">أكثر الأسهم أداءً وأقلها</w:t>
      </w:r>
    </w:p>
    <w:p>
      <w:pPr>
        <w:pStyle w:val="ListParagraph"/>
        <w:numPr>
          <w:ilvl w:val="0"/>
          <w:numId w:val="3"/>
        </w:numPr>
      </w:pPr>
      <w:r>
        <w:t xml:space="preserve">التوصيات الاستثمارية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تنبؤات واتجاهات المستقبل</w:t>
      </w:r>
    </w:p>
    <w:p>
      <w:pPr>
        <w:pStyle w:val="Heading2"/>
      </w:pPr>
      <w:r>
        <w:t xml:space="preserve">5.3 أدوات إضافية</w:t>
      </w:r>
    </w:p>
    <w:p>
      <w:pPr>
        <w:pStyle w:val="ListParagraph"/>
        <w:numPr>
          <w:ilvl w:val="0"/>
          <w:numId w:val="3"/>
        </w:numPr>
      </w:pPr>
      <w:r>
        <w:t xml:space="preserve">مقارن الأسهم (Stock Screener متقدم)</w:t>
      </w:r>
    </w:p>
    <w:p>
      <w:pPr>
        <w:pStyle w:val="ListParagraph"/>
        <w:numPr>
          <w:ilvl w:val="0"/>
          <w:numId w:val="3"/>
        </w:numPr>
      </w:pPr>
      <w:r>
        <w:t xml:space="preserve">حاسبة القيمة العادلة</w:t>
      </w:r>
    </w:p>
    <w:p>
      <w:pPr>
        <w:pStyle w:val="ListParagraph"/>
        <w:numPr>
          <w:ilvl w:val="0"/>
          <w:numId w:val="3"/>
        </w:numPr>
      </w:pPr>
      <w:r>
        <w:t xml:space="preserve">محاكاة الاستثمار (Backtester)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مستشار استثماري ذكي</w:t>
      </w:r>
    </w:p>
    <w:r>
      <w:br w:type="page"/>
    </w:r>
    <w:p>
      <w:pPr>
        <w:pStyle w:val="Heading1"/>
      </w:pPr>
      <w:r>
        <w:t xml:space="preserve">6. المتطلبات التقنية</w:t>
      </w:r>
    </w:p>
    <w:p>
      <w:pPr>
        <w:pStyle w:val="Heading2"/>
      </w:pPr>
      <w:r>
        <w:t xml:space="preserve">6.1 البنية التحتية</w:t>
      </w:r>
    </w:p>
    <w:p>
      <w:pPr>
        <w:spacing w:after="120"/>
      </w:pPr>
      <w:r>
        <w:rPr>
          <w:b/>
          <w:bCs/>
        </w:rPr>
        <w:t xml:space="preserve">الواجهة الأمامية (Frontend):</w:t>
      </w:r>
    </w:p>
    <w:p>
      <w:pPr>
        <w:pStyle w:val="ListParagraph"/>
        <w:numPr>
          <w:ilvl w:val="0"/>
          <w:numId w:val="3"/>
        </w:numPr>
      </w:pPr>
      <w:r>
        <w:t xml:space="preserve">React.js / Vue.js</w:t>
      </w:r>
    </w:p>
    <w:p>
      <w:pPr>
        <w:pStyle w:val="ListParagraph"/>
        <w:numPr>
          <w:ilvl w:val="0"/>
          <w:numId w:val="3"/>
        </w:numPr>
      </w:pPr>
      <w:r>
        <w:t xml:space="preserve">Chart.js / D3.js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Tailwind CSS / Material UI</w:t>
      </w:r>
    </w:p>
    <w:p>
      <w:pPr>
        <w:spacing w:after="120"/>
      </w:pPr>
      <w:r>
        <w:rPr>
          <w:b/>
          <w:bCs/>
        </w:rPr>
        <w:t xml:space="preserve">الخادم الخلفي (Backend):</w:t>
      </w:r>
    </w:p>
    <w:p>
      <w:pPr>
        <w:pStyle w:val="ListParagraph"/>
        <w:numPr>
          <w:ilvl w:val="0"/>
          <w:numId w:val="3"/>
        </w:numPr>
      </w:pPr>
      <w:r>
        <w:t xml:space="preserve">Node.js / Python (Django/FastAPI)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Express.js أو FastAPI</w:t>
      </w:r>
    </w:p>
    <w:p>
      <w:pPr>
        <w:spacing w:after="120"/>
      </w:pPr>
      <w:r>
        <w:rPr>
          <w:b/>
          <w:bCs/>
        </w:rPr>
        <w:t xml:space="preserve">قاعدة البيانات:</w:t>
      </w:r>
    </w:p>
    <w:p>
      <w:pPr>
        <w:pStyle w:val="ListParagraph"/>
        <w:numPr>
          <w:ilvl w:val="0"/>
          <w:numId w:val="3"/>
        </w:numPr>
      </w:pPr>
      <w:r>
        <w:t xml:space="preserve">PostgreSQL / MongoDB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Redis للتخزين المؤقت</w:t>
      </w:r>
    </w:p>
    <w:p>
      <w:pPr>
        <w:spacing w:after="120"/>
      </w:pPr>
      <w:r>
        <w:rPr>
          <w:b/>
          <w:bCs/>
        </w:rPr>
        <w:t xml:space="preserve">مصادر البيانات:</w:t>
      </w:r>
    </w:p>
    <w:p>
      <w:pPr>
        <w:pStyle w:val="ListParagraph"/>
        <w:numPr>
          <w:ilvl w:val="0"/>
          <w:numId w:val="3"/>
        </w:numPr>
      </w:pPr>
      <w:r>
        <w:t xml:space="preserve">EGX (بورصة مصر) - API</w:t>
      </w:r>
    </w:p>
    <w:p>
      <w:pPr>
        <w:pStyle w:val="ListParagraph"/>
        <w:numPr>
          <w:ilvl w:val="0"/>
          <w:numId w:val="3"/>
        </w:numPr>
      </w:pPr>
      <w:r>
        <w:t xml:space="preserve">Bloomberg Terminal API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Alpha Vantage / IEX Cloud</w:t>
      </w:r>
    </w:p>
    <w:p>
      <w:pPr>
        <w:pStyle w:val="Heading2"/>
      </w:pPr>
      <w:r>
        <w:t xml:space="preserve">6.2 المتطلبات الوظيفية غير المتعلقة بالأداء</w:t>
      </w:r>
    </w:p>
    <w:p>
      <w:pPr>
        <w:pStyle w:val="ListParagraph"/>
        <w:numPr>
          <w:ilvl w:val="0"/>
          <w:numId w:val="3"/>
        </w:numPr>
      </w:pPr>
      <w:r>
        <w:t xml:space="preserve">المصادقة وإدارة المستخدمين</w:t>
      </w:r>
    </w:p>
    <w:p>
      <w:pPr>
        <w:pStyle w:val="ListParagraph"/>
        <w:numPr>
          <w:ilvl w:val="0"/>
          <w:numId w:val="3"/>
        </w:numPr>
      </w:pPr>
      <w:r>
        <w:t xml:space="preserve">تشفير البيانات</w:t>
      </w:r>
    </w:p>
    <w:p>
      <w:pPr>
        <w:pStyle w:val="ListParagraph"/>
        <w:numPr>
          <w:ilvl w:val="0"/>
          <w:numId w:val="3"/>
        </w:numPr>
      </w:pPr>
      <w:r>
        <w:t xml:space="preserve">السجلات والتدقيق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نسخ احتياطية واستعادة البيانات</w:t>
      </w:r>
    </w:p>
    <w:p>
      <w:pPr>
        <w:pStyle w:val="Heading2"/>
      </w:pPr>
      <w:r>
        <w:t xml:space="preserve">6.3 المتطلبات غير الوظيفية</w:t>
      </w:r>
    </w:p>
    <w:p>
      <w:pPr>
        <w:spacing w:after="120"/>
      </w:pPr>
      <w:r>
        <w:rPr>
          <w:b/>
          <w:bCs/>
        </w:rPr>
        <w:t xml:space="preserve">الأداء:</w:t>
      </w:r>
    </w:p>
    <w:p>
      <w:pPr>
        <w:pStyle w:val="ListParagraph"/>
        <w:numPr>
          <w:ilvl w:val="0"/>
          <w:numId w:val="3"/>
        </w:numPr>
      </w:pPr>
      <w:r>
        <w:t xml:space="preserve">وقت استجابة أقل من 500 ملي ثانية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قابلية التعامل مع 10000 مستخدم متزامن</w:t>
      </w:r>
    </w:p>
    <w:p>
      <w:pPr>
        <w:spacing w:after="120"/>
      </w:pPr>
      <w:r>
        <w:rPr>
          <w:b/>
          <w:bCs/>
        </w:rPr>
        <w:t xml:space="preserve">التوافر:</w:t>
      </w:r>
    </w:p>
    <w:p>
      <w:pPr>
        <w:pStyle w:val="ListParagraph"/>
        <w:numPr>
          <w:ilvl w:val="0"/>
          <w:numId w:val="3"/>
        </w:numPr>
      </w:pPr>
      <w:r>
        <w:t xml:space="preserve">توافر بنسبة 99.5% على الأقل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RTO أقل من 4 ساعات</w:t>
      </w:r>
    </w:p>
    <w:p>
      <w:pPr>
        <w:spacing w:after="120"/>
      </w:pPr>
      <w:r>
        <w:rPr>
          <w:b/>
          <w:bCs/>
        </w:rPr>
        <w:t xml:space="preserve">الأمان:</w:t>
      </w:r>
    </w:p>
    <w:p>
      <w:pPr>
        <w:pStyle w:val="ListParagraph"/>
        <w:numPr>
          <w:ilvl w:val="0"/>
          <w:numId w:val="3"/>
        </w:numPr>
      </w:pPr>
      <w:r>
        <w:t xml:space="preserve">تشفير SSL/TLS</w:t>
      </w:r>
    </w:p>
    <w:p>
      <w:pPr>
        <w:pStyle w:val="ListParagraph"/>
        <w:numPr>
          <w:ilvl w:val="0"/>
          <w:numId w:val="3"/>
        </w:numPr>
      </w:pPr>
      <w:r>
        <w:t xml:space="preserve">حماية ضد OWASP Top 10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المصادقة متعددة العوامل (MFA)</w:t>
      </w:r>
    </w:p>
    <w:p>
      <w:pPr>
        <w:pStyle w:val="Heading1"/>
      </w:pPr>
      <w:r>
        <w:t xml:space="preserve">7. الجدول الزمني للتطوير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المرحلة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الوصف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الأنشطة الرئيسية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المدة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المسؤول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بنية أساسية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تصميم UI، قاعدة بيانات،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أسابيع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المطورون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مؤشرات فنية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حساب المؤشرات، رسوم بيانية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أسابيع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المحللون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التنبيهات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نظام التنبيهات، الإخطارات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أسبوع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DevOps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المحفظة والتقارير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إدارة محفظة، تقارير تحليلية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أسبوع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فريق كامل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8. نموذج العمل والإيرادات</w:t>
      </w:r>
    </w:p>
    <w:p>
      <w:pPr>
        <w:pStyle w:val="Heading2"/>
      </w:pPr>
      <w:r>
        <w:t xml:space="preserve">8.1 نماذج الاشتراك</w:t>
      </w:r>
    </w:p>
    <w:p>
      <w:pPr>
        <w:spacing w:after="120"/>
      </w:pPr>
      <w:r>
        <w:rPr>
          <w:b/>
          <w:bCs/>
        </w:rPr>
        <w:t xml:space="preserve">الخطة المجانية:</w:t>
      </w:r>
    </w:p>
    <w:p>
      <w:pPr>
        <w:pStyle w:val="ListParagraph"/>
        <w:numPr>
          <w:ilvl w:val="0"/>
          <w:numId w:val="3"/>
        </w:numPr>
      </w:pPr>
      <w:r>
        <w:t xml:space="preserve">عرض أساسي للأسهم</w:t>
      </w:r>
    </w:p>
    <w:p>
      <w:pPr>
        <w:pStyle w:val="ListParagraph"/>
        <w:numPr>
          <w:ilvl w:val="0"/>
          <w:numId w:val="3"/>
        </w:numPr>
      </w:pPr>
      <w:r>
        <w:t xml:space="preserve">فلترة محدودة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إعلانات</w:t>
      </w:r>
    </w:p>
    <w:p>
      <w:pPr>
        <w:spacing w:after="120"/>
      </w:pPr>
      <w:r>
        <w:rPr>
          <w:b/>
          <w:bCs/>
        </w:rPr>
        <w:t xml:space="preserve">الخطة المميزة (PRO):</w:t>
      </w:r>
    </w:p>
    <w:p>
      <w:pPr>
        <w:pStyle w:val="ListParagraph"/>
        <w:numPr>
          <w:ilvl w:val="0"/>
          <w:numId w:val="3"/>
        </w:numPr>
      </w:pPr>
      <w:r>
        <w:t xml:space="preserve">جميع المؤشرات الفنية</w:t>
      </w:r>
    </w:p>
    <w:p>
      <w:pPr>
        <w:pStyle w:val="ListParagraph"/>
        <w:numPr>
          <w:ilvl w:val="0"/>
          <w:numId w:val="3"/>
        </w:numPr>
      </w:pPr>
      <w:r>
        <w:t xml:space="preserve">تنبيهات غير محدودة</w:t>
      </w:r>
    </w:p>
    <w:p>
      <w:pPr>
        <w:pStyle w:val="ListParagraph"/>
        <w:numPr>
          <w:ilvl w:val="0"/>
          <w:numId w:val="3"/>
        </w:numPr>
      </w:pPr>
      <w:r>
        <w:t xml:space="preserve">لا إعلانات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السعر: 99 جنيه / شهر</w:t>
      </w:r>
    </w:p>
    <w:p>
      <w:pPr>
        <w:spacing w:after="120"/>
      </w:pPr>
      <w:r>
        <w:rPr>
          <w:b/>
          <w:bCs/>
        </w:rPr>
        <w:t xml:space="preserve">الخطة المتقدمة (PREMIUM):</w:t>
      </w:r>
    </w:p>
    <w:p>
      <w:pPr>
        <w:pStyle w:val="ListParagraph"/>
        <w:numPr>
          <w:ilvl w:val="0"/>
          <w:numId w:val="3"/>
        </w:numPr>
      </w:pPr>
      <w:r>
        <w:t xml:space="preserve">كل ميزات PRO</w:t>
      </w:r>
    </w:p>
    <w:p>
      <w:pPr>
        <w:pStyle w:val="ListParagraph"/>
        <w:numPr>
          <w:ilvl w:val="0"/>
          <w:numId w:val="3"/>
        </w:numPr>
      </w:pPr>
      <w:r>
        <w:t xml:space="preserve">تقارير تحليلية مخصصة</w:t>
      </w:r>
    </w:p>
    <w:p>
      <w:pPr>
        <w:pStyle w:val="ListParagraph"/>
        <w:numPr>
          <w:ilvl w:val="0"/>
          <w:numId w:val="3"/>
        </w:numPr>
      </w:pPr>
      <w:r>
        <w:t xml:space="preserve">دعم الأولوية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السعر: 249 جنيه / شهر</w:t>
      </w:r>
    </w:p>
    <w:p>
      <w:pPr>
        <w:pStyle w:val="Heading1"/>
      </w:pPr>
      <w:r>
        <w:t xml:space="preserve">9. الخاتمة والخطوات التالية</w:t>
      </w:r>
    </w:p>
    <w:p>
      <w:pPr>
        <w:spacing w:after="120"/>
      </w:pPr>
      <w:r>
        <w:rPr>
          <w:b/>
          <w:bCs/>
        </w:rPr>
        <w:t xml:space="preserve">الخطوات الفورية (الأسبوع القادم):</w:t>
      </w:r>
    </w:p>
    <w:p>
      <w:pPr>
        <w:pStyle w:val="ListParagraph"/>
        <w:numPr>
          <w:ilvl w:val="0"/>
          <w:numId w:val="3"/>
        </w:numPr>
      </w:pPr>
      <w:r>
        <w:t xml:space="preserve">بدء تطوير المرحلة الأولى</w:t>
      </w:r>
    </w:p>
    <w:p>
      <w:pPr>
        <w:pStyle w:val="ListParagraph"/>
        <w:numPr>
          <w:ilvl w:val="0"/>
          <w:numId w:val="3"/>
        </w:numPr>
      </w:pPr>
      <w:r>
        <w:t xml:space="preserve">إعداد بيئة التطوير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تصميم قاعدة البيانات</w:t>
      </w:r>
    </w:p>
    <w:p>
      <w:pPr>
        <w:spacing w:after="240"/>
      </w:pPr>
      <w:r>
        <w:t xml:space="preserve">هذه الوثيقة تمثل خارطة الطريق الشاملة لتطوير بوت محلل الأسهم المتقدم. يجب مراجعتها بشكل دوري وتحديثها حسب تطور المشروع والمتطلبات الجديدة.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D6B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2026-05-10T11:20:26.907Z</dcterms:created>
  <dcterms:modified xsi:type="dcterms:W3CDTF">2026-05-10T11:20:26.907Z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