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الدليل التقني الشامل</w:t>
      </w:r>
    </w:p>
    <w:p>
      <w:pPr>
        <w:jc w:val="center"/>
      </w:pPr>
      <w:r>
        <w:rPr>
          <w:b/>
          <w:bCs/>
          <w:color w:val="2E5090"/>
          <w:sz w:val="32"/>
          <w:szCs w:val="32"/>
        </w:rPr>
        <w:t xml:space="preserve">بوت محلل الأسهم - النسخة الإنتاجية</w:t>
      </w:r>
    </w:p>
    <w:p>
      <w:pPr>
        <w:spacing w:after="240"/>
        <w:jc w:val="center"/>
      </w:pPr>
      <w:r>
        <w:rPr>
          <w:sz w:val="24"/>
          <w:szCs w:val="24"/>
        </w:rPr>
        <w:t xml:space="preserve">دليل التطبيق والنشر والصيانة</w:t>
      </w:r>
    </w:p>
    <w:p>
      <w:pPr>
        <w:pStyle w:val="Heading1"/>
      </w:pPr>
      <w:r>
        <w:t xml:space="preserve">1. البنية المعمارية</w:t>
      </w:r>
    </w:p>
    <w:p>
      <w:pPr>
        <w:pStyle w:val="Heading2"/>
      </w:pPr>
      <w:r>
        <w:t xml:space="preserve">1.1 طبقة العرض (Frontend)</w:t>
      </w:r>
    </w:p>
    <w:p>
      <w:pPr>
        <w:spacing w:after="120"/>
      </w:pPr>
      <w:r>
        <w:rPr>
          <w:b/>
          <w:bCs/>
        </w:rPr>
        <w:t xml:space="preserve">التقنيات المستخدمة:</w:t>
      </w:r>
    </w:p>
    <w:p>
      <w:pPr>
        <w:pStyle w:val="ListParagraph"/>
        <w:numPr>
          <w:ilvl w:val="0"/>
          <w:numId w:val="2"/>
        </w:numPr>
      </w:pPr>
      <w:r>
        <w:t xml:space="preserve">React.js v18+ - مكتبة واجهات المستخدم الرئيسية</w:t>
      </w:r>
    </w:p>
    <w:p>
      <w:pPr>
        <w:pStyle w:val="ListParagraph"/>
        <w:numPr>
          <w:ilvl w:val="0"/>
          <w:numId w:val="2"/>
        </w:numPr>
      </w:pPr>
      <w:r>
        <w:t xml:space="preserve">Redux Toolkit - إدارة الحالة (State Management)</w:t>
      </w:r>
    </w:p>
    <w:p>
      <w:pPr>
        <w:pStyle w:val="ListParagraph"/>
        <w:numPr>
          <w:ilvl w:val="0"/>
          <w:numId w:val="2"/>
        </w:numPr>
      </w:pPr>
      <w:r>
        <w:t xml:space="preserve">Tailwind CSS - التصميم والأنماط</w:t>
      </w:r>
    </w:p>
    <w:p>
      <w:pPr>
        <w:pStyle w:val="ListParagraph"/>
        <w:numPr>
          <w:ilvl w:val="0"/>
          <w:numId w:val="2"/>
        </w:numPr>
      </w:pPr>
      <w:r>
        <w:t xml:space="preserve">Chart.js / Recharts - الرسوم البيانية</w:t>
      </w:r>
    </w:p>
    <w:p>
      <w:pPr>
        <w:pStyle w:val="ListParagraph"/>
        <w:numPr>
          <w:ilvl w:val="0"/>
          <w:numId w:val="2"/>
        </w:numPr>
      </w:pPr>
      <w:r>
        <w:t xml:space="preserve">Axios - طلبات HTTP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WebSocket - البيانات اللحظية</w:t>
      </w:r>
    </w:p>
    <w:p>
      <w:pPr>
        <w:spacing w:after="120"/>
      </w:pPr>
      <w:r>
        <w:rPr>
          <w:b/>
          <w:bCs/>
        </w:rPr>
        <w:t xml:space="preserve">هيكل المشروع:</w:t>
      </w:r>
    </w:p>
    <w:p>
      <w:pPr>
        <w:pStyle w:val="ListParagraph"/>
        <w:numPr>
          <w:ilvl w:val="0"/>
          <w:numId w:val="2"/>
        </w:numPr>
      </w:pPr>
      <w:r>
        <w:t xml:space="preserve">src/components - مكونات React</w:t>
      </w:r>
    </w:p>
    <w:p>
      <w:pPr>
        <w:pStyle w:val="ListParagraph"/>
        <w:numPr>
          <w:ilvl w:val="0"/>
          <w:numId w:val="2"/>
        </w:numPr>
      </w:pPr>
      <w:r>
        <w:t xml:space="preserve">src/pages - صفحات التطبيق</w:t>
      </w:r>
    </w:p>
    <w:p>
      <w:pPr>
        <w:pStyle w:val="ListParagraph"/>
        <w:numPr>
          <w:ilvl w:val="0"/>
          <w:numId w:val="2"/>
        </w:numPr>
      </w:pPr>
      <w:r>
        <w:t xml:space="preserve">src/redux - منطق الحالة</w:t>
      </w:r>
    </w:p>
    <w:p>
      <w:pPr>
        <w:pStyle w:val="ListParagraph"/>
        <w:numPr>
          <w:ilvl w:val="0"/>
          <w:numId w:val="2"/>
        </w:numPr>
      </w:pPr>
      <w:r>
        <w:t xml:space="preserve">src/api - خدمات API</w:t>
      </w:r>
    </w:p>
    <w:p>
      <w:pPr>
        <w:pStyle w:val="ListParagraph"/>
        <w:numPr>
          <w:ilvl w:val="0"/>
          <w:numId w:val="2"/>
        </w:numPr>
      </w:pPr>
      <w:r>
        <w:t xml:space="preserve">src/utils - وظائف مساعدة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src/styles - أنماط CSS</w:t>
      </w:r>
    </w:p>
    <w:p>
      <w:pPr>
        <w:pStyle w:val="Heading2"/>
      </w:pPr>
      <w:r>
        <w:t xml:space="preserve">1.2 الخادم الخلفي (Backend)</w:t>
      </w:r>
    </w:p>
    <w:p>
      <w:pPr>
        <w:spacing w:after="120"/>
      </w:pPr>
      <w:r>
        <w:rPr>
          <w:b/>
          <w:bCs/>
        </w:rPr>
        <w:t xml:space="preserve">البنية الموصى بها: Node.js + Express.js</w:t>
      </w:r>
    </w:p>
    <w:p>
      <w:pPr>
        <w:pStyle w:val="ListParagraph"/>
        <w:numPr>
          <w:ilvl w:val="0"/>
          <w:numId w:val="2"/>
        </w:numPr>
      </w:pPr>
      <w:r>
        <w:t xml:space="preserve">Express.js v4.18+ - إطار العمل الرئيسي</w:t>
      </w:r>
    </w:p>
    <w:p>
      <w:pPr>
        <w:pStyle w:val="ListParagraph"/>
        <w:numPr>
          <w:ilvl w:val="0"/>
          <w:numId w:val="2"/>
        </w:numPr>
      </w:pPr>
      <w:r>
        <w:t xml:space="preserve">Socket.io - البيانات اللحظية</w:t>
      </w:r>
    </w:p>
    <w:p>
      <w:pPr>
        <w:pStyle w:val="ListParagraph"/>
        <w:numPr>
          <w:ilvl w:val="0"/>
          <w:numId w:val="2"/>
        </w:numPr>
      </w:pPr>
      <w:r>
        <w:t xml:space="preserve">JWT - المصادقة</w:t>
      </w:r>
    </w:p>
    <w:p>
      <w:pPr>
        <w:pStyle w:val="ListParagraph"/>
        <w:numPr>
          <w:ilvl w:val="0"/>
          <w:numId w:val="2"/>
        </w:numPr>
      </w:pPr>
      <w:r>
        <w:t xml:space="preserve">Multer - تحميل الملفات</w:t>
      </w:r>
    </w:p>
    <w:p>
      <w:pPr>
        <w:pStyle w:val="ListParagraph"/>
        <w:numPr>
          <w:ilvl w:val="0"/>
          <w:numId w:val="2"/>
        </w:numPr>
      </w:pPr>
      <w:r>
        <w:t xml:space="preserve">Nodemailer - إرسال البريد الإلكتروني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Bull - معالجة المهام المتكررة</w:t>
      </w:r>
    </w:p>
    <w:p>
      <w:pPr>
        <w:spacing w:after="120"/>
      </w:pPr>
      <w:r>
        <w:rPr>
          <w:b/>
          <w:bCs/>
        </w:rPr>
        <w:t xml:space="preserve">هيكل الخادم:</w:t>
      </w:r>
    </w:p>
    <w:p>
      <w:pPr>
        <w:pStyle w:val="ListParagraph"/>
        <w:numPr>
          <w:ilvl w:val="0"/>
          <w:numId w:val="2"/>
        </w:numPr>
      </w:pPr>
      <w:r>
        <w:t xml:space="preserve">routes/ - مسارات API</w:t>
      </w:r>
    </w:p>
    <w:p>
      <w:pPr>
        <w:pStyle w:val="ListParagraph"/>
        <w:numPr>
          <w:ilvl w:val="0"/>
          <w:numId w:val="2"/>
        </w:numPr>
      </w:pPr>
      <w:r>
        <w:t xml:space="preserve">controllers/ - معالجات الطلبات</w:t>
      </w:r>
    </w:p>
    <w:p>
      <w:pPr>
        <w:pStyle w:val="ListParagraph"/>
        <w:numPr>
          <w:ilvl w:val="0"/>
          <w:numId w:val="2"/>
        </w:numPr>
      </w:pPr>
      <w:r>
        <w:t xml:space="preserve">models/ - نماذج قاعدة البيانات</w:t>
      </w:r>
    </w:p>
    <w:p>
      <w:pPr>
        <w:pStyle w:val="ListParagraph"/>
        <w:numPr>
          <w:ilvl w:val="0"/>
          <w:numId w:val="2"/>
        </w:numPr>
      </w:pPr>
      <w:r>
        <w:t xml:space="preserve">middleware/ - وسيط المصادقة والتحقق</w:t>
      </w:r>
    </w:p>
    <w:p>
      <w:pPr>
        <w:pStyle w:val="ListParagraph"/>
        <w:numPr>
          <w:ilvl w:val="0"/>
          <w:numId w:val="2"/>
        </w:numPr>
      </w:pPr>
      <w:r>
        <w:t xml:space="preserve">services/ - منطق الأعمال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utils/ - وظائف مساعدة</w:t>
      </w:r>
    </w:p>
    <w:p>
      <w:pPr>
        <w:pStyle w:val="Heading2"/>
      </w:pPr>
      <w:r>
        <w:t xml:space="preserve">1.3 قاعدة البيانات</w:t>
      </w:r>
    </w:p>
    <w:p>
      <w:pPr>
        <w:pStyle w:val="ListParagraph"/>
        <w:numPr>
          <w:ilvl w:val="0"/>
          <w:numId w:val="2"/>
        </w:numPr>
      </w:pPr>
      <w:r>
        <w:t xml:space="preserve">PostgreSQL - قاعدة البيانات الرئيسية</w:t>
      </w:r>
    </w:p>
    <w:p>
      <w:pPr>
        <w:pStyle w:val="ListParagraph"/>
        <w:numPr>
          <w:ilvl w:val="0"/>
          <w:numId w:val="2"/>
        </w:numPr>
      </w:pPr>
      <w:r>
        <w:t xml:space="preserve">MongoDB - البيانات غير المهيكلة (التاريخية)</w:t>
      </w:r>
    </w:p>
    <w:p>
      <w:pPr>
        <w:pStyle w:val="ListParagraph"/>
        <w:numPr>
          <w:ilvl w:val="0"/>
          <w:numId w:val="2"/>
        </w:numPr>
      </w:pPr>
      <w:r>
        <w:t xml:space="preserve">Redis - التخزين المؤقت والبيانات اللحظية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Elasticsearch - البحث والتحليل</w:t>
      </w:r>
    </w:p>
    <w:r>
      <w:br w:type="page"/>
    </w:r>
    <w:p>
      <w:pPr>
        <w:pStyle w:val="Heading1"/>
      </w:pPr>
      <w:r>
        <w:t xml:space="preserve">2. إعدادات البيئة والنشر</w:t>
      </w:r>
    </w:p>
    <w:p>
      <w:pPr>
        <w:pStyle w:val="Heading2"/>
      </w:pPr>
      <w:r>
        <w:t xml:space="preserve">2.1 المتطلبات المسبقة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المتطلب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الإصدار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الوصف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الأساسي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v18+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بيئة تشغيل 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نعم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v12+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قاعدة البيانات الرئيسية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نعم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v6+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التخزين المؤقت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نعم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v20+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حاوية البيئة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موصى به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2.2 خطوات التثبيت</w:t>
      </w:r>
    </w:p>
    <w:p>
      <w:pPr>
        <w:spacing w:after="120"/>
      </w:pPr>
      <w:r>
        <w:rPr>
          <w:b/>
          <w:bCs/>
        </w:rPr>
        <w:t xml:space="preserve">1. استنساخ المستودع:</w:t>
      </w:r>
    </w:p>
    <w:p>
      <w:r>
        <w:rPr>
          <w:rStyle w:val="Code"/>
        </w:rPr>
        <w:t xml:space="preserve">git clone https://github.com/yourname/stock-analyzer.git</w:t>
      </w:r>
    </w:p>
    <w:p>
      <w:pPr>
        <w:spacing w:after="120"/>
      </w:pPr>
      <w:r>
        <w:t xml:space="preserve">cd stock-analyzer</w:t>
      </w:r>
    </w:p>
    <w:p>
      <w:pPr>
        <w:spacing w:after="120"/>
      </w:pPr>
      <w:r>
        <w:rPr>
          <w:b/>
          <w:bCs/>
        </w:rPr>
        <w:t xml:space="preserve">2. تثبيت المتعلقات:</w:t>
      </w:r>
    </w:p>
    <w:p>
      <w:r>
        <w:rPr>
          <w:rStyle w:val="Code"/>
        </w:rPr>
        <w:t xml:space="preserve">npm install</w:t>
      </w:r>
    </w:p>
    <w:p>
      <w:pPr>
        <w:spacing w:after="120"/>
      </w:pPr>
      <w:r>
        <w:t xml:space="preserve">cd client &amp;&amp; npm install</w:t>
      </w:r>
    </w:p>
    <w:p>
      <w:pPr>
        <w:spacing w:after="120"/>
      </w:pPr>
      <w:r>
        <w:rPr>
          <w:b/>
          <w:bCs/>
        </w:rPr>
        <w:t xml:space="preserve">3. إعداد متغيرات البيئة:</w:t>
      </w:r>
    </w:p>
    <w:p>
      <w:r>
        <w:rPr>
          <w:rStyle w:val="Code"/>
        </w:rPr>
        <w:t xml:space="preserve">cp .env.example .env</w:t>
      </w:r>
    </w:p>
    <w:p>
      <w:pPr>
        <w:spacing w:after="240"/>
      </w:pPr>
      <w:r>
        <w:t xml:space="preserve">قم بتحرير ملف .env بمفاتيحك وبيانات الاتصال</w:t>
      </w:r>
    </w:p>
    <w:p>
      <w:pPr>
        <w:pStyle w:val="Heading2"/>
      </w:pPr>
      <w:r>
        <w:t xml:space="preserve">2.3 ملف Docker Compose</w:t>
      </w:r>
    </w:p>
    <w:p>
      <w:pPr>
        <w:pStyle w:val="ListParagraph"/>
        <w:numPr>
          <w:ilvl w:val="0"/>
          <w:numId w:val="2"/>
        </w:numPr>
      </w:pPr>
      <w:r>
        <w:t xml:space="preserve">PostgreSQL - الخادم الأساسي</w:t>
      </w:r>
    </w:p>
    <w:p>
      <w:pPr>
        <w:pStyle w:val="ListParagraph"/>
        <w:numPr>
          <w:ilvl w:val="0"/>
          <w:numId w:val="2"/>
        </w:numPr>
      </w:pPr>
      <w:r>
        <w:t xml:space="preserve">Redis - التخزين المؤقت</w:t>
      </w:r>
    </w:p>
    <w:p>
      <w:pPr>
        <w:pStyle w:val="ListParagraph"/>
        <w:numPr>
          <w:ilvl w:val="0"/>
          <w:numId w:val="2"/>
        </w:numPr>
      </w:pPr>
      <w:r>
        <w:t xml:space="preserve">Node.js - خادم التطبيق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Nginx - خادم الويب</w:t>
      </w:r>
    </w:p>
    <w:r>
      <w:br w:type="page"/>
    </w:r>
    <w:p>
      <w:pPr>
        <w:pStyle w:val="Heading1"/>
      </w:pPr>
      <w:r>
        <w:t xml:space="preserve">3. APIs والنقاط النهائية</w:t>
      </w:r>
    </w:p>
    <w:p>
      <w:pPr>
        <w:pStyle w:val="Heading2"/>
      </w:pPr>
      <w:r>
        <w:t xml:space="preserve">3.1 API نقاط الأسهم</w:t>
      </w:r>
    </w:p>
    <w:p>
      <w:pPr>
        <w:spacing w:after="120"/>
      </w:pPr>
      <w:r>
        <w:rPr>
          <w:b/>
          <w:bCs/>
        </w:rPr>
        <w:t xml:space="preserve">GET /api/stocks</w:t>
      </w:r>
    </w:p>
    <w:p>
      <w:pPr>
        <w:pStyle w:val="ListParagraph"/>
        <w:numPr>
          <w:ilvl w:val="0"/>
          <w:numId w:val="2"/>
        </w:numPr>
      </w:pPr>
      <w:r>
        <w:t xml:space="preserve">الوصف: الحصول على قائمة جميع الأسهم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المعاملات: page, limit, sort, filter</w:t>
      </w:r>
    </w:p>
    <w:p>
      <w:pPr>
        <w:spacing w:after="120"/>
      </w:pPr>
      <w:r>
        <w:rPr>
          <w:b/>
          <w:bCs/>
        </w:rPr>
        <w:t xml:space="preserve">GET /api/stocks/:id</w:t>
      </w:r>
    </w:p>
    <w:p>
      <w:pPr>
        <w:pStyle w:val="ListParagraph"/>
        <w:numPr>
          <w:ilvl w:val="0"/>
          <w:numId w:val="2"/>
        </w:numPr>
      </w:pPr>
      <w:r>
        <w:t xml:space="preserve">الوصف: الحصول على تفاصيل سهم محدد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المعاملات: تفاصيل كاملة، مؤشرات فنية، أخبار</w:t>
      </w:r>
    </w:p>
    <w:p>
      <w:pPr>
        <w:spacing w:after="120"/>
      </w:pPr>
      <w:r>
        <w:rPr>
          <w:b/>
          <w:bCs/>
        </w:rPr>
        <w:t xml:space="preserve">GET /api/stocks/:id/technicals</w:t>
      </w:r>
    </w:p>
    <w:p>
      <w:pPr>
        <w:pStyle w:val="ListParagraph"/>
        <w:numPr>
          <w:ilvl w:val="0"/>
          <w:numId w:val="2"/>
        </w:numPr>
      </w:pPr>
      <w:r>
        <w:t xml:space="preserve">الوصف: الحصول على المؤشرات الفنية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المؤشرات: SMA, EMA, RSI, MACD, Bollinger</w:t>
      </w:r>
    </w:p>
    <w:p>
      <w:pPr>
        <w:pStyle w:val="Heading2"/>
      </w:pPr>
      <w:r>
        <w:t xml:space="preserve">3.2 API التنبيهات</w:t>
      </w:r>
    </w:p>
    <w:p>
      <w:pPr>
        <w:spacing w:after="120"/>
      </w:pPr>
      <w:r>
        <w:rPr>
          <w:b/>
          <w:bCs/>
        </w:rPr>
        <w:t xml:space="preserve">POST /api/alerts</w:t>
      </w:r>
    </w:p>
    <w:p>
      <w:pPr>
        <w:pStyle w:val="ListParagraph"/>
        <w:numPr>
          <w:ilvl w:val="0"/>
          <w:numId w:val="2"/>
        </w:numPr>
      </w:pPr>
      <w:r>
        <w:t xml:space="preserve">الوصف: إنشاء تنبيه جديد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الجسم: stockId, type, condition, value, channel</w:t>
      </w:r>
    </w:p>
    <w:p>
      <w:pPr>
        <w:spacing w:after="120"/>
      </w:pPr>
      <w:r>
        <w:rPr>
          <w:b/>
          <w:bCs/>
        </w:rPr>
        <w:t xml:space="preserve">GET /api/alerts</w:t>
      </w:r>
    </w:p>
    <w:p>
      <w:pPr>
        <w:pStyle w:val="ListParagraph"/>
        <w:numPr>
          <w:ilvl w:val="0"/>
          <w:numId w:val="2"/>
        </w:numPr>
      </w:pPr>
      <w:r>
        <w:t xml:space="preserve">الوصف: الحصول على التنبيهات الخاصة بالمستخدم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المعاملات: status, type, page, limit</w:t>
      </w:r>
    </w:p>
    <w:p>
      <w:pPr>
        <w:pStyle w:val="Heading2"/>
      </w:pPr>
      <w:r>
        <w:t xml:space="preserve">3.3 API المحفظة</w:t>
      </w:r>
    </w:p>
    <w:p>
      <w:pPr>
        <w:spacing w:after="120"/>
      </w:pPr>
      <w:r>
        <w:rPr>
          <w:b/>
          <w:bCs/>
        </w:rPr>
        <w:t xml:space="preserve">POST /api/portfolio</w:t>
      </w:r>
    </w:p>
    <w:p>
      <w:pPr>
        <w:pStyle w:val="ListParagraph"/>
        <w:numPr>
          <w:ilvl w:val="0"/>
          <w:numId w:val="2"/>
        </w:numPr>
      </w:pPr>
      <w:r>
        <w:t xml:space="preserve">الوصف: إضافة سهم إلى المحفظة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الجسم: stockId, quantity, purchasePrice</w:t>
      </w:r>
    </w:p>
    <w:p>
      <w:pPr>
        <w:spacing w:after="120"/>
      </w:pPr>
      <w:r>
        <w:rPr>
          <w:b/>
          <w:bCs/>
        </w:rPr>
        <w:t xml:space="preserve">GET /api/portfolio</w:t>
      </w:r>
    </w:p>
    <w:p>
      <w:pPr>
        <w:pStyle w:val="ListParagraph"/>
        <w:numPr>
          <w:ilvl w:val="0"/>
          <w:numId w:val="2"/>
        </w:numPr>
      </w:pPr>
      <w:r>
        <w:t xml:space="preserve">الوصف: الحصول على بيانات المحفظة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العودة: قيمة المحفظة، العائد، التوزيع</w:t>
      </w:r>
    </w:p>
    <w:r>
      <w:br w:type="page"/>
    </w:r>
    <w:p>
      <w:pPr>
        <w:pStyle w:val="Heading1"/>
      </w:pPr>
      <w:r>
        <w:t xml:space="preserve">4. الأمان والحماية</w:t>
      </w:r>
    </w:p>
    <w:p>
      <w:pPr>
        <w:pStyle w:val="Heading2"/>
      </w:pPr>
      <w:r>
        <w:t xml:space="preserve">4.1 المصادقة</w:t>
      </w:r>
    </w:p>
    <w:p>
      <w:pPr>
        <w:pStyle w:val="ListParagraph"/>
        <w:numPr>
          <w:ilvl w:val="0"/>
          <w:numId w:val="2"/>
        </w:numPr>
      </w:pPr>
      <w:r>
        <w:t xml:space="preserve">JWT (JSON Web Tokens) لأمان API</w:t>
      </w:r>
    </w:p>
    <w:p>
      <w:pPr>
        <w:pStyle w:val="ListParagraph"/>
        <w:numPr>
          <w:ilvl w:val="0"/>
          <w:numId w:val="2"/>
        </w:numPr>
      </w:pPr>
      <w:r>
        <w:t xml:space="preserve">المصادقة متعددة العوامل (MFA) اختيارية</w:t>
      </w:r>
    </w:p>
    <w:p>
      <w:pPr>
        <w:pStyle w:val="ListParagraph"/>
        <w:numPr>
          <w:ilvl w:val="0"/>
          <w:numId w:val="2"/>
        </w:numPr>
      </w:pPr>
      <w:r>
        <w:t xml:space="preserve">مدة الجلسة: 24 ساعة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تحديث تلقائي للرموز</w:t>
      </w:r>
    </w:p>
    <w:p>
      <w:pPr>
        <w:spacing w:after="120"/>
      </w:pPr>
      <w:r>
        <w:rPr>
          <w:b/>
          <w:bCs/>
        </w:rPr>
        <w:t xml:space="preserve">4.2 تشفير البيانات:</w:t>
      </w:r>
    </w:p>
    <w:p>
      <w:pPr>
        <w:pStyle w:val="ListParagraph"/>
        <w:numPr>
          <w:ilvl w:val="0"/>
          <w:numId w:val="2"/>
        </w:numPr>
      </w:pPr>
      <w:r>
        <w:t xml:space="preserve">HTTPS/TLS لجميع الاتصالات</w:t>
      </w:r>
    </w:p>
    <w:p>
      <w:pPr>
        <w:pStyle w:val="ListParagraph"/>
        <w:numPr>
          <w:ilvl w:val="0"/>
          <w:numId w:val="2"/>
        </w:numPr>
      </w:pPr>
      <w:r>
        <w:t xml:space="preserve">تشفير AES-256 للبيانات الحساسة</w:t>
      </w:r>
    </w:p>
    <w:p>
      <w:pPr>
        <w:pStyle w:val="ListParagraph"/>
        <w:numPr>
          <w:ilvl w:val="0"/>
          <w:numId w:val="2"/>
        </w:numPr>
      </w:pPr>
      <w:r>
        <w:t xml:space="preserve">bcrypt لتشفير كلمات المرور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عدم تخزين بيانات بطاقات الائتمان</w:t>
      </w:r>
    </w:p>
    <w:p>
      <w:pPr>
        <w:spacing w:after="120"/>
      </w:pPr>
      <w:r>
        <w:rPr>
          <w:b/>
          <w:bCs/>
        </w:rPr>
        <w:t xml:space="preserve">4.3 حماية من الهجمات:</w:t>
      </w:r>
    </w:p>
    <w:p>
      <w:pPr>
        <w:pStyle w:val="ListParagraph"/>
        <w:numPr>
          <w:ilvl w:val="0"/>
          <w:numId w:val="2"/>
        </w:numPr>
      </w:pPr>
      <w:r>
        <w:t xml:space="preserve">CORS - التحكم في المصادر</w:t>
      </w:r>
    </w:p>
    <w:p>
      <w:pPr>
        <w:pStyle w:val="ListParagraph"/>
        <w:numPr>
          <w:ilvl w:val="0"/>
          <w:numId w:val="2"/>
        </w:numPr>
      </w:pPr>
      <w:r>
        <w:t xml:space="preserve">Rate Limiting - تحديد معدل الطلبات</w:t>
      </w:r>
    </w:p>
    <w:p>
      <w:pPr>
        <w:pStyle w:val="ListParagraph"/>
        <w:numPr>
          <w:ilvl w:val="0"/>
          <w:numId w:val="2"/>
        </w:numPr>
      </w:pPr>
      <w:r>
        <w:t xml:space="preserve">Input Validation - التحقق من الإدخال</w:t>
      </w:r>
    </w:p>
    <w:p>
      <w:pPr>
        <w:pStyle w:val="ListParagraph"/>
        <w:numPr>
          <w:ilvl w:val="0"/>
          <w:numId w:val="2"/>
        </w:numPr>
      </w:pPr>
      <w:r>
        <w:t xml:space="preserve">SQL Injection Prevention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XSS Protection</w:t>
      </w:r>
    </w:p>
    <w:p>
      <w:pPr>
        <w:pStyle w:val="Heading1"/>
      </w:pPr>
      <w:r>
        <w:t xml:space="preserve">5. المراقبة والصيانة</w:t>
      </w:r>
    </w:p>
    <w:p>
      <w:pPr>
        <w:pStyle w:val="Heading2"/>
      </w:pPr>
      <w:r>
        <w:t xml:space="preserve">5.1 المراقبة</w:t>
      </w:r>
    </w:p>
    <w:p>
      <w:pPr>
        <w:pStyle w:val="ListParagraph"/>
        <w:numPr>
          <w:ilvl w:val="0"/>
          <w:numId w:val="2"/>
        </w:numPr>
      </w:pPr>
      <w:r>
        <w:t xml:space="preserve">Prometheus - جمع المقاييس</w:t>
      </w:r>
    </w:p>
    <w:p>
      <w:pPr>
        <w:pStyle w:val="ListParagraph"/>
        <w:numPr>
          <w:ilvl w:val="0"/>
          <w:numId w:val="2"/>
        </w:numPr>
      </w:pPr>
      <w:r>
        <w:t xml:space="preserve">Grafana - لوحات العرض</w:t>
      </w:r>
    </w:p>
    <w:p>
      <w:pPr>
        <w:pStyle w:val="ListParagraph"/>
        <w:numPr>
          <w:ilvl w:val="0"/>
          <w:numId w:val="2"/>
        </w:numPr>
      </w:pPr>
      <w:r>
        <w:t xml:space="preserve">ELK Stack - تحليل السجلات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Sentry - تتبع الأخطاء</w:t>
      </w:r>
    </w:p>
    <w:p>
      <w:pPr>
        <w:spacing w:after="120"/>
      </w:pPr>
      <w:r>
        <w:rPr>
          <w:b/>
          <w:bCs/>
        </w:rPr>
        <w:t xml:space="preserve">5.2 النسخ الاحتياطية:</w:t>
      </w:r>
    </w:p>
    <w:p>
      <w:pPr>
        <w:pStyle w:val="ListParagraph"/>
        <w:numPr>
          <w:ilvl w:val="0"/>
          <w:numId w:val="2"/>
        </w:numPr>
      </w:pPr>
      <w:r>
        <w:t xml:space="preserve">نسخ احتياطية يومية تلقائية</w:t>
      </w:r>
    </w:p>
    <w:p>
      <w:pPr>
        <w:pStyle w:val="ListParagraph"/>
        <w:numPr>
          <w:ilvl w:val="0"/>
          <w:numId w:val="2"/>
        </w:numPr>
      </w:pPr>
      <w:r>
        <w:t xml:space="preserve">تخزين النسخ في S3 أو موقع آمن</w:t>
      </w:r>
    </w:p>
    <w:p>
      <w:pPr>
        <w:pStyle w:val="ListParagraph"/>
        <w:numPr>
          <w:ilvl w:val="0"/>
          <w:numId w:val="2"/>
        </w:numPr>
      </w:pPr>
      <w:r>
        <w:t xml:space="preserve">اختبار الاستعادة أسبوعياً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نسخ احتياطية متعددة النقاط (عدة نقاط زمنية)</w:t>
      </w:r>
    </w:p>
    <w:p>
      <w:pPr>
        <w:pStyle w:val="Heading1"/>
      </w:pPr>
      <w:r>
        <w:t xml:space="preserve">6. الاختبار والجودة</w:t>
      </w:r>
    </w:p>
    <w:p>
      <w:pPr>
        <w:pStyle w:val="Heading2"/>
      </w:pPr>
      <w:r>
        <w:t xml:space="preserve">6.1 أنواع الاختبارات</w:t>
      </w:r>
    </w:p>
    <w:p>
      <w:pPr>
        <w:spacing w:after="120"/>
      </w:pPr>
      <w:r>
        <w:rPr>
          <w:b/>
          <w:bCs/>
        </w:rPr>
        <w:t xml:space="preserve">اختبارات الوحدة (Unit Tests):</w:t>
      </w:r>
    </w:p>
    <w:p>
      <w:pPr>
        <w:pStyle w:val="ListParagraph"/>
        <w:numPr>
          <w:ilvl w:val="0"/>
          <w:numId w:val="2"/>
        </w:numPr>
      </w:pPr>
      <w:r>
        <w:t xml:space="preserve">Jest للاختبارات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تغطية 80% من الكود على الأقل</w:t>
      </w:r>
    </w:p>
    <w:p>
      <w:pPr>
        <w:spacing w:after="120"/>
      </w:pPr>
      <w:r>
        <w:rPr>
          <w:b/>
          <w:bCs/>
        </w:rPr>
        <w:t xml:space="preserve">اختبارات التكامل (Integration Tests):</w:t>
      </w:r>
    </w:p>
    <w:p>
      <w:pPr>
        <w:pStyle w:val="ListParagraph"/>
        <w:numPr>
          <w:ilvl w:val="0"/>
          <w:numId w:val="2"/>
        </w:numPr>
      </w:pPr>
      <w:r>
        <w:t xml:space="preserve">Supertest لاختبار API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اختبار سير العمل الكامل</w:t>
      </w:r>
    </w:p>
    <w:p>
      <w:pPr>
        <w:spacing w:after="120"/>
      </w:pPr>
      <w:r>
        <w:rPr>
          <w:b/>
          <w:bCs/>
        </w:rPr>
        <w:t xml:space="preserve">اختبارات E2E:</w:t>
      </w:r>
    </w:p>
    <w:p>
      <w:pPr>
        <w:pStyle w:val="ListParagraph"/>
        <w:numPr>
          <w:ilvl w:val="0"/>
          <w:numId w:val="2"/>
        </w:numPr>
      </w:pPr>
      <w:r>
        <w:t xml:space="preserve">Cypress أو Playwright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اختبار سيناريوهات المستخدم النهائية</w:t>
      </w:r>
    </w:p>
    <w:p>
      <w:pPr>
        <w:pStyle w:val="Heading1"/>
      </w:pPr>
      <w:r>
        <w:t xml:space="preserve">7. جدول النشر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المرحلة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الفترة الزمنية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الحالة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الملاحظات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التطوير الأساسي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أسبوع 1-4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جاري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البنية الأساسية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المؤشرات الفنية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أسبوع 3-5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قادمة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تعقيدة عالية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النسخة بيتا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أسبوع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مخطط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اختبار محدود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الإطلاق النهائي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أسبوع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قادمة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للجميع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8. الدعم والاستشارة</w:t>
      </w:r>
    </w:p>
    <w:p>
      <w:pPr>
        <w:pStyle w:val="ListParagraph"/>
        <w:numPr>
          <w:ilvl w:val="0"/>
          <w:numId w:val="2"/>
        </w:numPr>
      </w:pPr>
      <w:r>
        <w:t xml:space="preserve">البريد الإلكتروني: support@stockanalyzer.com</w:t>
      </w:r>
    </w:p>
    <w:p>
      <w:pPr>
        <w:pStyle w:val="ListParagraph"/>
        <w:numPr>
          <w:ilvl w:val="0"/>
          <w:numId w:val="2"/>
        </w:numPr>
      </w:pPr>
      <w:r>
        <w:t xml:space="preserve">الدعم الفني: 24/5 (السبت - الخميس)</w:t>
      </w:r>
    </w:p>
    <w:p>
      <w:pPr>
        <w:pStyle w:val="ListParagraph"/>
        <w:numPr>
          <w:ilvl w:val="0"/>
          <w:numId w:val="2"/>
        </w:numPr>
      </w:pPr>
      <w:r>
        <w:t xml:space="preserve">GitHub Issues للمشاكل التقنية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Slack Channel للنقاشات الفورية</w:t>
      </w:r>
    </w:p>
    <w:p>
      <w:pPr>
        <w:pStyle w:val="Heading1"/>
      </w:pPr>
      <w:r>
        <w:t xml:space="preserve">الخاتمة</w:t>
      </w:r>
    </w:p>
    <w:p>
      <w:pPr>
        <w:spacing w:after="240"/>
      </w:pPr>
      <w:r>
        <w:t xml:space="preserve">هذا الدليل يوفر جميع المعلومات اللازمة لنشر وتشغيل وصيانة تطبيق محلل الأسهم. يجب تحديثه بانتظام مع تطور التطبيق والتقنيات المستخدمة.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Code">
    <w:name w:val="Code"/>
    <w:basedOn w:val="Normal"/>
    <w:next w:val="Normal"/>
    <w:qFormat/>
    <w:pPr>
      <w:spacing w:after="80" w:before="80"/>
    </w:pPr>
    <w:rPr>
      <w:rFonts w:ascii="Courier New" w:cs="Courier New" w:eastAsia="Courier New" w:hAnsi="Courier New"/>
      <w:color w:val="C41E3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2026-05-10T11:22:26.519Z</dcterms:created>
  <dcterms:modified xsi:type="dcterms:W3CDTF">2026-05-10T11:22:26.519Z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