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ОТЧЕТ ПО ПРАКТИЧЕСКОЙ РАБОТЕ №4</w:t>
        <w:br/>
      </w:r>
      <w:r>
        <w:rPr>
          <w:b/>
          <w:sz w:val="26"/>
        </w:rPr>
        <w:t>Тема: «Интерфейс электронных таблиц. Способы адресации, формулы и функции в MS Excel»</w:t>
        <w:br/>
        <w:br/>
      </w:r>
    </w:p>
    <w:p>
      <w:pPr>
        <w:jc w:val="right"/>
      </w:pPr>
      <w:r>
        <w:rPr>
          <w:i/>
          <w:sz w:val="22"/>
        </w:rPr>
        <w:t>Выполнил: студент Сорокин А.</w:t>
        <w:br/>
        <w:t>Дисциплина: Информационные технологии</w:t>
        <w:br/>
      </w:r>
    </w:p>
    <w:p>
      <w:pPr>
        <w:pStyle w:val="Heading1"/>
      </w:pPr>
      <w:r>
        <w:t>1. Цель работы</w:t>
      </w:r>
    </w:p>
    <w:p>
      <w:pPr>
        <w:spacing w:line="276" w:lineRule="auto"/>
      </w:pPr>
      <w:r>
        <w:t>Изучение интерфейса и возможностей табличного процессора Microsoft Excel, освоение базовых понятий (ячейка, диапазон, лист, книга), отработка навыков применения различных способов адресации ячеек (относительная, абсолютная, смешанная), выполнения расчетов с использованием формул и стандартных статистических функций (SUM, AVERAGE, MIN, MAX).</w:t>
      </w:r>
    </w:p>
    <w:p>
      <w:pPr>
        <w:pStyle w:val="Heading1"/>
      </w:pPr>
      <w:r>
        <w:t>2. Теоретические основы: Способы адресации ячеек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D9E1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Тип адресации</w:t>
            </w:r>
          </w:p>
        </w:tc>
        <w:tc>
          <w:tcPr>
            <w:tcW w:type="dxa" w:w="2412"/>
            <w:shd w:fill="D9E1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Обозначение</w:t>
            </w:r>
          </w:p>
        </w:tc>
        <w:tc>
          <w:tcPr>
            <w:tcW w:type="dxa" w:w="2412"/>
            <w:shd w:fill="D9E1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Что фиксируется ($)</w:t>
            </w:r>
          </w:p>
        </w:tc>
        <w:tc>
          <w:tcPr>
            <w:tcW w:type="dxa" w:w="2412"/>
            <w:shd w:fill="D9E1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</w:rPr>
              <w:t>Пример формулы при копировании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Относительная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A1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Ничего (ссылка смещается при перемещении)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=B2*C2/100 -&gt; в строке 3 станет =B3*C3/100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Абсолютная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$A$1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И столбец, и строка фиксируются жестко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=(B2+D2)*$H$2 -&gt; $H$2 не меняется при протягивании</w:t>
            </w:r>
          </w:p>
        </w:tc>
      </w:tr>
      <w:tr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Смешанная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$A1 или A$1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Только столбец ($A1) ИЛИ только строка (A$1)</w:t>
            </w:r>
          </w:p>
        </w:tc>
        <w:tc>
          <w:tcPr>
            <w:tcW w:type="dxa" w:w="24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=B2*I$2 -&gt; при копировании вправо столбец I меняется на J, K</w:t>
            </w:r>
          </w:p>
        </w:tc>
      </w:tr>
    </w:tbl>
    <w:p>
      <w:pPr>
        <w:pStyle w:val="Heading1"/>
      </w:pPr>
      <w:r>
        <w:t>3. Практическая часть: Ход работы и результаты</w:t>
      </w:r>
    </w:p>
    <w:p>
      <w:r>
        <w:rPr>
          <w:b/>
          <w:sz w:val="24"/>
        </w:rPr>
        <w:t>Задание 1. Лист «Зарплата» — Расчет заработной платы сотрудников отдела</w:t>
      </w:r>
    </w:p>
    <w:p>
      <w:pPr>
        <w:spacing w:line="276" w:lineRule="auto"/>
      </w:pPr>
      <w:r>
        <w:t>1. Создана таблица сотрудников со столбцами: ФИО, Оклад, Премия (%), Премия (руб.), НДФЛ, К выдаче, № п/п.</w:t>
        <w:br/>
        <w:t>2. Применено форматирование заголовков: полужирный начертание, заливка темно-синим цветом (#1F4E79), белый цвет шрифта, выравнивание по центру.</w:t>
        <w:br/>
        <w:t>3. Настроен денежный формат для суммовых показателей (#,##0.00 ₽) и процентный формат для премии.</w:t>
        <w:br/>
        <w:t>4. Оклад сотрудника Сидорова С.С. скорректирован до 62 000 руб. в соответствии с заданием.</w:t>
        <w:br/>
        <w:t>5. Отработана относительная адресация: расчет премии по формуле =B2*C2/100 с распространением маркером автозаполнения на диапазон D2:D6.</w:t>
        <w:br/>
        <w:t>6. Отработана абсолютная адресация: ячейка H1:H2 отведена под параметр «Ставка НДФЛ» (0,13 / 13%) с желтой заливкой. Расчет НДФЛ выполнен по формуле =(B2+D2)*$H$2. При изменении ставки налог автоматически пересчитывается.</w:t>
        <w:br/>
        <w:t>7. Расчет суммы «К выдаче» выполнен по формуле =B2+D2-E2.</w:t>
        <w:br/>
        <w:t>8. Реализован эксперимент со смешанной адресацией: параметр коэффициента (1,5) в ячейке I2, формулы =B2*$I$2 и =B2*I$2.</w:t>
        <w:br/>
        <w:t>9. В строке «ИТОГО:» подведены итоги с помощью функции =SUM(B2:B6), =SUM(D2:D6), =SUM(E2:E6), =SUM(F2:F6).</w:t>
        <w:br/>
        <w:t>10. Рассчитаны аналитические показатели с помощью статистических функций: Средняя зарплата (=AVERAGE(F2:F6)), Максимальная выплата (=MAX(F2:F6)), Минимальная выплата (=MIN(F2:F6)).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type="dxa" w:w="160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ФИО сотрудника</w:t>
            </w:r>
          </w:p>
        </w:tc>
        <w:tc>
          <w:tcPr>
            <w:tcW w:type="dxa" w:w="160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Оклад</w:t>
            </w:r>
          </w:p>
        </w:tc>
        <w:tc>
          <w:tcPr>
            <w:tcW w:type="dxa" w:w="160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Премия (руб.)</w:t>
            </w:r>
          </w:p>
        </w:tc>
        <w:tc>
          <w:tcPr>
            <w:tcW w:type="dxa" w:w="160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НДФЛ (13%)</w:t>
            </w:r>
          </w:p>
        </w:tc>
        <w:tc>
          <w:tcPr>
            <w:tcW w:type="dxa" w:w="160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 выдаче</w:t>
            </w:r>
          </w:p>
        </w:tc>
      </w:tr>
      <w:tr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Иванов И.И.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50 000,00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10 000,00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7 800,00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52 200,00 ₽</w:t>
            </w:r>
          </w:p>
        </w:tc>
      </w:tr>
      <w:tr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Петров П.П.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45 000,00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6 750,00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6 727,50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45 022,50 ₽</w:t>
            </w:r>
          </w:p>
        </w:tc>
      </w:tr>
      <w:tr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Сидоров С.С.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62 000,00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15 500,00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10 075,00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67 425,00 ₽</w:t>
            </w:r>
          </w:p>
        </w:tc>
      </w:tr>
      <w:tr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Кузнецова К.К.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55 000,00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5 500,00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7 865,00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52 635,00 ₽</w:t>
            </w:r>
          </w:p>
        </w:tc>
      </w:tr>
      <w:tr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Смирнов С.С.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40 000,00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12 000,00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6 760,00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45 240,00 ₽</w:t>
            </w:r>
          </w:p>
        </w:tc>
      </w:tr>
      <w:tr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  <w:shd w:fill="F2F2F2"/>
          </w:tcPr>
          <w:p>
            <w:pPr>
              <w:jc w:val="center"/>
            </w:pPr>
            <w:r>
              <w:rPr>
                <w:b/>
                <w:sz w:val="19"/>
              </w:rPr>
              <w:t>—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  <w:shd w:fill="F2F2F2"/>
          </w:tcPr>
          <w:p>
            <w:pPr>
              <w:jc w:val="left"/>
            </w:pPr>
            <w:r>
              <w:rPr>
                <w:b/>
                <w:sz w:val="19"/>
              </w:rPr>
              <w:t>ИТОГО: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  <w:shd w:fill="F2F2F2"/>
          </w:tcPr>
          <w:p>
            <w:pPr>
              <w:jc w:val="right"/>
            </w:pPr>
            <w:r>
              <w:rPr>
                <w:b/>
                <w:sz w:val="19"/>
              </w:rPr>
              <w:t>252 000,00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  <w:shd w:fill="F2F2F2"/>
          </w:tcPr>
          <w:p>
            <w:pPr>
              <w:jc w:val="right"/>
            </w:pPr>
            <w:r>
              <w:rPr>
                <w:b/>
                <w:sz w:val="19"/>
              </w:rPr>
              <w:t>49 750,00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  <w:shd w:fill="F2F2F2"/>
          </w:tcPr>
          <w:p>
            <w:pPr>
              <w:jc w:val="right"/>
            </w:pPr>
            <w:r>
              <w:rPr>
                <w:b/>
                <w:sz w:val="19"/>
              </w:rPr>
              <w:t>39 227,50 ₽</w:t>
            </w:r>
          </w:p>
        </w:tc>
        <w:tc>
          <w:tcPr>
            <w:tcW w:type="dxa" w:w="1608"/>
            <w:tcMar>
              <w:top w:w="60" w:type="dxa"/>
              <w:bottom w:w="60" w:type="dxa"/>
              <w:left w:w="100" w:type="dxa"/>
              <w:right w:w="100" w:type="dxa"/>
            </w:tcMar>
            <w:shd w:fill="F2F2F2"/>
          </w:tcPr>
          <w:p>
            <w:pPr>
              <w:jc w:val="right"/>
            </w:pPr>
            <w:r>
              <w:rPr>
                <w:b/>
                <w:sz w:val="19"/>
              </w:rPr>
              <w:t>262 522,50 ₽</w:t>
            </w:r>
          </w:p>
        </w:tc>
      </w:tr>
    </w:tbl>
    <w:p>
      <w:pPr>
        <w:spacing w:before="160"/>
      </w:pPr>
      <w:r>
        <w:rPr>
          <w:sz w:val="22"/>
        </w:rPr>
        <w:t>Статистические итоги по зарплате:</w:t>
        <w:br/>
        <w:t>• Средняя заработная плата к выдаче (=AVERAGE): 52 504,50 ₽</w:t>
        <w:br/>
        <w:t>• Максимальная выплата (=MAX): 67 425,00 ₽ (Сидоров С.С.)</w:t>
        <w:br/>
        <w:t>• Минимальная выплата (=MIN): 45 022,50 ₽ (Петров П.П.)</w:t>
      </w:r>
    </w:p>
    <w:p>
      <w:pPr>
        <w:spacing w:before="280"/>
      </w:pPr>
      <w:r>
        <w:rPr>
          <w:b/>
          <w:sz w:val="24"/>
        </w:rPr>
        <w:t>Задание 2. Лист «Товары» — Учет складских товаров и расчет скидок с НДС</w:t>
      </w:r>
    </w:p>
    <w:p>
      <w:pPr>
        <w:spacing w:line="276" w:lineRule="auto"/>
      </w:pPr>
      <w:r>
        <w:t>1. Создан второй лист рабочей книги с наименованием «Товары» (в полном соответствии с темой складского учёта).</w:t>
        <w:br/>
        <w:t>2. Введена номенклатура товаров: Ноутбук, Монитор, Клавиатура, Мышь, их базовые цены, количество и процентные скидки.</w:t>
        <w:br/>
        <w:t>3. Стоимость без скидки рассчитана по формуле =Цена * Кол-во (=B2*C2).</w:t>
        <w:br/>
        <w:t>4. Итоговая стоимость с учетом скидки рассчитана по формуле =Стоимость * (1 - Скидка/100) (=E2*(1-D2/100)).</w:t>
        <w:br/>
        <w:t>5. В отдельной ячейке H2 задана общая ставка НДС (20%). Расчет суммы НДС выполнен с использованием абсолютной ссылки: =E2*$H$2.</w:t>
        <w:br/>
        <w:t>6. В итоговой строке 6 подведены суммы по количеству, стоимости, скидке и НДС с помощью функции =SUM().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Товар</w:t>
            </w:r>
          </w:p>
        </w:tc>
        <w:tc>
          <w:tcPr>
            <w:tcW w:type="dxa" w:w="137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Цена за ед.</w:t>
            </w:r>
          </w:p>
        </w:tc>
        <w:tc>
          <w:tcPr>
            <w:tcW w:type="dxa" w:w="137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Кол-во</w:t>
            </w:r>
          </w:p>
        </w:tc>
        <w:tc>
          <w:tcPr>
            <w:tcW w:type="dxa" w:w="137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Скидка %</w:t>
            </w:r>
          </w:p>
        </w:tc>
        <w:tc>
          <w:tcPr>
            <w:tcW w:type="dxa" w:w="137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Стоимость</w:t>
            </w:r>
          </w:p>
        </w:tc>
        <w:tc>
          <w:tcPr>
            <w:tcW w:type="dxa" w:w="137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Итого со скидкой</w:t>
            </w:r>
          </w:p>
        </w:tc>
        <w:tc>
          <w:tcPr>
            <w:tcW w:type="dxa" w:w="137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НДС (20%)</w:t>
            </w:r>
          </w:p>
        </w:tc>
      </w:tr>
      <w:tr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Ноутбук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45 000,00 ₽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5%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225 000,00 ₽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213 750,00 ₽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45 000,00 ₽</w:t>
            </w:r>
          </w:p>
        </w:tc>
      </w:tr>
      <w:tr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Монитор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18 000,00 ₽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3%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180 000,00 ₽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174 600,00 ₽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36 000,00 ₽</w:t>
            </w:r>
          </w:p>
        </w:tc>
      </w:tr>
      <w:tr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Клавиатура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1 500,00 ₽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25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10%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37 500,00 ₽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33 750,00 ₽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7 500,00 ₽</w:t>
            </w:r>
          </w:p>
        </w:tc>
      </w:tr>
      <w:tr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Мышь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800,00 ₽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30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7%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24 000,00 ₽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22 320,00 ₽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9"/>
              </w:rPr>
              <w:t>4 800,00 ₽</w:t>
            </w:r>
          </w:p>
        </w:tc>
      </w:tr>
      <w:tr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  <w:shd w:fill="F2F2F2"/>
          </w:tcPr>
          <w:p>
            <w:pPr>
              <w:jc w:val="left"/>
            </w:pPr>
            <w:r>
              <w:rPr>
                <w:b/>
                <w:sz w:val="19"/>
              </w:rPr>
              <w:t>ИТОГО: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  <w:shd w:fill="F2F2F2"/>
          </w:tcPr>
          <w:p>
            <w:pPr>
              <w:jc w:val="right"/>
            </w:pPr>
            <w:r>
              <w:rPr>
                <w:b/>
                <w:sz w:val="19"/>
              </w:rPr>
              <w:t>—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  <w:shd w:fill="F2F2F2"/>
          </w:tcPr>
          <w:p>
            <w:pPr>
              <w:jc w:val="center"/>
            </w:pPr>
            <w:r>
              <w:rPr>
                <w:b/>
                <w:sz w:val="19"/>
              </w:rPr>
              <w:t>70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  <w:shd w:fill="F2F2F2"/>
          </w:tcPr>
          <w:p>
            <w:pPr>
              <w:jc w:val="center"/>
            </w:pPr>
            <w:r>
              <w:rPr>
                <w:b/>
                <w:sz w:val="19"/>
              </w:rPr>
              <w:t>—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  <w:shd w:fill="F2F2F2"/>
          </w:tcPr>
          <w:p>
            <w:pPr>
              <w:jc w:val="right"/>
            </w:pPr>
            <w:r>
              <w:rPr>
                <w:b/>
                <w:sz w:val="19"/>
              </w:rPr>
              <w:t>466 500,00 ₽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  <w:shd w:fill="F2F2F2"/>
          </w:tcPr>
          <w:p>
            <w:pPr>
              <w:jc w:val="right"/>
            </w:pPr>
            <w:r>
              <w:rPr>
                <w:b/>
                <w:sz w:val="19"/>
              </w:rPr>
              <w:t>444 420,00 ₽</w:t>
            </w:r>
          </w:p>
        </w:tc>
        <w:tc>
          <w:tcPr>
            <w:tcW w:type="dxa" w:w="1378"/>
            <w:tcMar>
              <w:top w:w="60" w:type="dxa"/>
              <w:bottom w:w="60" w:type="dxa"/>
              <w:left w:w="100" w:type="dxa"/>
              <w:right w:w="100" w:type="dxa"/>
            </w:tcMar>
            <w:shd w:fill="F2F2F2"/>
          </w:tcPr>
          <w:p>
            <w:pPr>
              <w:jc w:val="right"/>
            </w:pPr>
            <w:r>
              <w:rPr>
                <w:b/>
                <w:sz w:val="19"/>
              </w:rPr>
              <w:t>93 300,00 ₽</w:t>
            </w:r>
          </w:p>
        </w:tc>
      </w:tr>
    </w:tbl>
    <w:p>
      <w:pPr>
        <w:pStyle w:val="Heading1"/>
      </w:pPr>
      <w:r>
        <w:t>4. Заключение</w:t>
      </w:r>
    </w:p>
    <w:p>
      <w:pPr>
        <w:spacing w:line="276" w:lineRule="auto"/>
      </w:pPr>
      <w:r>
        <w:t>В ходе выполнения практической работы были успешно освоены ключевые принципы работы с электронными таблицами MS Excel. На практике отработаны различия между относительной (B2*C2), абсолютной ($H$2) и смешанной (I$2) адресацией, что позволило автоматизировать процесс перерасчета при изменении ключевых параметров. Изучено применение стандартных математических и статистических функций (SUM, AVERAGE, MIN, MAX). Все расчеты проверены, форматирование соответствует требованиям методических указаний.</w:t>
      </w:r>
    </w:p>
    <w:sectPr w:rsidR="00FC693F" w:rsidRPr="0006063C" w:rsidSect="00034616"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