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BioStack Protocol Packet</w:t>
      </w:r>
    </w:p>
    <w:p>
      <w:pPr>
        <w:jc w:val="center"/>
      </w:pPr>
      <w:r>
        <w:t>Provider-review draft for phased metabolic, repair, longevity, and cognitive observability</w:t>
      </w:r>
    </w:p>
    <w:p>
      <w:pPr>
        <w:jc w:val="center"/>
      </w:pPr>
      <w:r>
        <w:t>Version 2: adds Epitalon, total-materials planning, bacteriostatic-water math, and print page breaks</w:t>
      </w:r>
    </w:p>
    <w:p>
      <w:r>
        <w:rPr>
          <w:b/>
        </w:rPr>
        <w:t xml:space="preserve">Note: </w:t>
      </w:r>
      <w:r>
        <w:t>Educational and observational draft only. This is not medical advice, not a prescription, and not injection instruction. All dosing, route, reconstitution, labs, imaging, and escalation decisions should be reviewed with a qualified provider. BioStack-style calculators should be treated as math checks only and verified manually.</w:t>
      </w:r>
    </w:p>
    <w:p>
      <w:r>
        <w:br w:type="page"/>
      </w:r>
    </w:p>
    <w:p>
      <w:pPr>
        <w:pStyle w:val="Heading1"/>
      </w:pPr>
      <w:r>
        <w:t>1. Quick-Reference Phase Schedule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504"/>
        <w:gridCol w:w="3504"/>
        <w:gridCol w:w="3504"/>
      </w:tblGrid>
      <w:tr>
        <w:tc>
          <w:tcPr>
            <w:tcW w:type="dxa" w:w="1080"/>
            <w:vAlign w:val="top"/>
            <w:shd w:fill="D9EAF7"/>
          </w:tcPr>
          <w:p>
            <w:pPr>
              <w:jc w:val="left"/>
            </w:pPr>
            <w:r/>
            <w:r>
              <w:rPr>
                <w:b/>
                <w:sz w:val="16"/>
              </w:rPr>
              <w:t>Weeks</w:t>
            </w:r>
          </w:p>
        </w:tc>
        <w:tc>
          <w:tcPr>
            <w:tcW w:type="dxa" w:w="2376"/>
            <w:vAlign w:val="top"/>
            <w:shd w:fill="D9EAF7"/>
          </w:tcPr>
          <w:p>
            <w:pPr>
              <w:jc w:val="left"/>
            </w:pPr>
            <w:r/>
            <w:r>
              <w:rPr>
                <w:b/>
                <w:sz w:val="16"/>
              </w:rPr>
              <w:t>Primary move</w:t>
            </w:r>
          </w:p>
        </w:tc>
        <w:tc>
          <w:tcPr>
            <w:tcW w:type="dxa" w:w="6912"/>
            <w:vAlign w:val="top"/>
            <w:shd w:fill="D9EAF7"/>
          </w:tcPr>
          <w:p>
            <w:pPr>
              <w:jc w:val="left"/>
            </w:pPr>
            <w:r/>
            <w:r>
              <w:rPr>
                <w:b/>
                <w:sz w:val="16"/>
              </w:rPr>
              <w:t>Why this timing makes sense</w:t>
            </w:r>
          </w:p>
        </w:tc>
      </w:tr>
      <w:tr>
        <w:tc>
          <w:tcPr>
            <w:tcW w:type="dxa" w:w="1080"/>
            <w:vAlign w:val="top"/>
          </w:tcPr>
          <w:p>
            <w:pPr>
              <w:jc w:val="left"/>
            </w:pPr>
            <w:r/>
            <w:r>
              <w:rPr>
                <w:b w:val="0"/>
                <w:sz w:val="16"/>
              </w:rPr>
              <w:t>1-2</w:t>
            </w:r>
          </w:p>
        </w:tc>
        <w:tc>
          <w:tcPr>
            <w:tcW w:type="dxa" w:w="2376"/>
            <w:vAlign w:val="top"/>
          </w:tcPr>
          <w:p>
            <w:pPr>
              <w:jc w:val="left"/>
            </w:pPr>
            <w:r/>
            <w:r>
              <w:rPr>
                <w:b w:val="0"/>
                <w:sz w:val="16"/>
              </w:rPr>
              <w:t>NAD+ only</w:t>
            </w:r>
          </w:p>
        </w:tc>
        <w:tc>
          <w:tcPr>
            <w:tcW w:type="dxa" w:w="6912"/>
            <w:vAlign w:val="top"/>
          </w:tcPr>
          <w:p>
            <w:pPr>
              <w:jc w:val="left"/>
            </w:pPr>
            <w:r/>
            <w:r>
              <w:rPr>
                <w:b w:val="0"/>
                <w:sz w:val="16"/>
              </w:rPr>
              <w:t>Pure tolerance window. Keep the rest quiet so early energy, sleep, GI, mood, and injection-site signals are readable.</w:t>
            </w:r>
          </w:p>
        </w:tc>
      </w:tr>
      <w:tr>
        <w:tc>
          <w:tcPr>
            <w:tcW w:type="dxa" w:w="1080"/>
            <w:vAlign w:val="top"/>
          </w:tcPr>
          <w:p>
            <w:pPr>
              <w:jc w:val="left"/>
            </w:pPr>
            <w:r/>
            <w:r>
              <w:rPr>
                <w:b w:val="0"/>
                <w:sz w:val="16"/>
              </w:rPr>
              <w:t>3</w:t>
            </w:r>
          </w:p>
        </w:tc>
        <w:tc>
          <w:tcPr>
            <w:tcW w:type="dxa" w:w="2376"/>
            <w:vAlign w:val="top"/>
          </w:tcPr>
          <w:p>
            <w:pPr>
              <w:jc w:val="left"/>
            </w:pPr>
            <w:r/>
            <w:r>
              <w:rPr>
                <w:b w:val="0"/>
                <w:sz w:val="16"/>
              </w:rPr>
              <w:t>Add MOTS-c</w:t>
            </w:r>
          </w:p>
        </w:tc>
        <w:tc>
          <w:tcPr>
            <w:tcW w:type="dxa" w:w="6912"/>
            <w:vAlign w:val="top"/>
          </w:tcPr>
          <w:p>
            <w:pPr>
              <w:jc w:val="left"/>
            </w:pPr>
            <w:r/>
            <w:r>
              <w:rPr>
                <w:b w:val="0"/>
                <w:sz w:val="16"/>
              </w:rPr>
              <w:t>Only add after NAD+ tolerance is clean. Treat as experimental mitochondrial/metabolic support, not guaranteed mitochondrial restoration.</w:t>
            </w:r>
          </w:p>
        </w:tc>
      </w:tr>
      <w:tr>
        <w:tc>
          <w:tcPr>
            <w:tcW w:type="dxa" w:w="1080"/>
            <w:vAlign w:val="top"/>
          </w:tcPr>
          <w:p>
            <w:pPr>
              <w:jc w:val="left"/>
            </w:pPr>
            <w:r/>
            <w:r>
              <w:rPr>
                <w:b w:val="0"/>
                <w:sz w:val="16"/>
              </w:rPr>
              <w:t>4</w:t>
            </w:r>
          </w:p>
        </w:tc>
        <w:tc>
          <w:tcPr>
            <w:tcW w:type="dxa" w:w="2376"/>
            <w:vAlign w:val="top"/>
          </w:tcPr>
          <w:p>
            <w:pPr>
              <w:jc w:val="left"/>
            </w:pPr>
            <w:r/>
            <w:r>
              <w:rPr>
                <w:b w:val="0"/>
                <w:sz w:val="16"/>
              </w:rPr>
              <w:t>Add GHK-Cu</w:t>
            </w:r>
          </w:p>
        </w:tc>
        <w:tc>
          <w:tcPr>
            <w:tcW w:type="dxa" w:w="6912"/>
            <w:vAlign w:val="top"/>
          </w:tcPr>
          <w:p>
            <w:pPr>
              <w:jc w:val="left"/>
            </w:pPr>
            <w:r/>
            <w:r>
              <w:rPr>
                <w:b w:val="0"/>
                <w:sz w:val="16"/>
              </w:rPr>
              <w:t>Earlier add as a standalone repair/collagen/skin/connective-tissue signal. Do not add BPC/KPV the same week.</w:t>
            </w:r>
          </w:p>
        </w:tc>
      </w:tr>
      <w:tr>
        <w:tc>
          <w:tcPr>
            <w:tcW w:type="dxa" w:w="1080"/>
            <w:vAlign w:val="top"/>
          </w:tcPr>
          <w:p>
            <w:pPr>
              <w:jc w:val="left"/>
            </w:pPr>
            <w:r/>
            <w:r>
              <w:rPr>
                <w:b w:val="0"/>
                <w:sz w:val="16"/>
              </w:rPr>
              <w:t>5-7</w:t>
            </w:r>
          </w:p>
        </w:tc>
        <w:tc>
          <w:tcPr>
            <w:tcW w:type="dxa" w:w="2376"/>
            <w:vAlign w:val="top"/>
          </w:tcPr>
          <w:p>
            <w:pPr>
              <w:jc w:val="left"/>
            </w:pPr>
            <w:r/>
            <w:r>
              <w:rPr>
                <w:b w:val="0"/>
                <w:sz w:val="16"/>
              </w:rPr>
              <w:t>Add BPC-157 + KPV</w:t>
            </w:r>
          </w:p>
        </w:tc>
        <w:tc>
          <w:tcPr>
            <w:tcW w:type="dxa" w:w="6912"/>
            <w:vAlign w:val="top"/>
          </w:tcPr>
          <w:p>
            <w:pPr>
              <w:jc w:val="left"/>
            </w:pPr>
            <w:r/>
            <w:r>
              <w:rPr>
                <w:b w:val="0"/>
                <w:sz w:val="16"/>
              </w:rPr>
              <w:t>Repair and anti-inflammatory layer after GHK-Cu has its own observation window. Avoid stacking all repair peptides on the same start date.</w:t>
            </w:r>
          </w:p>
        </w:tc>
      </w:tr>
      <w:tr>
        <w:tc>
          <w:tcPr>
            <w:tcW w:type="dxa" w:w="1080"/>
            <w:vAlign w:val="top"/>
          </w:tcPr>
          <w:p>
            <w:pPr>
              <w:jc w:val="left"/>
            </w:pPr>
            <w:r/>
            <w:r>
              <w:rPr>
                <w:b w:val="0"/>
                <w:sz w:val="16"/>
              </w:rPr>
              <w:t>8-10</w:t>
            </w:r>
          </w:p>
        </w:tc>
        <w:tc>
          <w:tcPr>
            <w:tcW w:type="dxa" w:w="2376"/>
            <w:vAlign w:val="top"/>
          </w:tcPr>
          <w:p>
            <w:pPr>
              <w:jc w:val="left"/>
            </w:pPr>
            <w:r/>
            <w:r>
              <w:rPr>
                <w:b w:val="0"/>
                <w:sz w:val="16"/>
              </w:rPr>
              <w:t>Consider retatrutide</w:t>
            </w:r>
          </w:p>
        </w:tc>
        <w:tc>
          <w:tcPr>
            <w:tcW w:type="dxa" w:w="6912"/>
            <w:vAlign w:val="top"/>
          </w:tcPr>
          <w:p>
            <w:pPr>
              <w:jc w:val="left"/>
            </w:pPr>
            <w:r/>
            <w:r>
              <w:rPr>
                <w:b w:val="0"/>
                <w:sz w:val="16"/>
              </w:rPr>
              <w:t>Only after provider review, baseline labs, stable GI status, and quiet prior stack. Retatrutide becomes the dominant signal once introduced.</w:t>
            </w:r>
          </w:p>
        </w:tc>
      </w:tr>
      <w:tr>
        <w:tc>
          <w:tcPr>
            <w:tcW w:type="dxa" w:w="1080"/>
            <w:vAlign w:val="top"/>
          </w:tcPr>
          <w:p>
            <w:pPr>
              <w:jc w:val="left"/>
            </w:pPr>
            <w:r/>
            <w:r>
              <w:rPr>
                <w:b w:val="0"/>
                <w:sz w:val="16"/>
              </w:rPr>
              <w:t>11-12</w:t>
            </w:r>
          </w:p>
        </w:tc>
        <w:tc>
          <w:tcPr>
            <w:tcW w:type="dxa" w:w="2376"/>
            <w:vAlign w:val="top"/>
          </w:tcPr>
          <w:p>
            <w:pPr>
              <w:jc w:val="left"/>
            </w:pPr>
            <w:r/>
            <w:r>
              <w:rPr>
                <w:b w:val="0"/>
                <w:sz w:val="16"/>
              </w:rPr>
              <w:t>Consider Semax/Selank</w:t>
            </w:r>
          </w:p>
        </w:tc>
        <w:tc>
          <w:tcPr>
            <w:tcW w:type="dxa" w:w="6912"/>
            <w:vAlign w:val="top"/>
          </w:tcPr>
          <w:p>
            <w:pPr>
              <w:jc w:val="left"/>
            </w:pPr>
            <w:r/>
            <w:r>
              <w:rPr>
                <w:b w:val="0"/>
                <w:sz w:val="16"/>
              </w:rPr>
              <w:t>Only if retatrutide is stable and sleep/mood/appetite are not actively shifting.</w:t>
            </w:r>
          </w:p>
        </w:tc>
      </w:tr>
      <w:tr>
        <w:tc>
          <w:tcPr>
            <w:tcW w:type="dxa" w:w="1080"/>
            <w:vAlign w:val="top"/>
          </w:tcPr>
          <w:p>
            <w:pPr>
              <w:jc w:val="left"/>
            </w:pPr>
            <w:r/>
            <w:r>
              <w:rPr>
                <w:b w:val="0"/>
                <w:sz w:val="16"/>
              </w:rPr>
              <w:t>13-15+</w:t>
            </w:r>
          </w:p>
        </w:tc>
        <w:tc>
          <w:tcPr>
            <w:tcW w:type="dxa" w:w="2376"/>
            <w:vAlign w:val="top"/>
          </w:tcPr>
          <w:p>
            <w:pPr>
              <w:jc w:val="left"/>
            </w:pPr>
            <w:r/>
            <w:r>
              <w:rPr>
                <w:b w:val="0"/>
                <w:sz w:val="16"/>
              </w:rPr>
              <w:t>Consider Epitalon, then Dihexa only if justified</w:t>
            </w:r>
          </w:p>
        </w:tc>
        <w:tc>
          <w:tcPr>
            <w:tcW w:type="dxa" w:w="6912"/>
            <w:vAlign w:val="top"/>
          </w:tcPr>
          <w:p>
            <w:pPr>
              <w:jc w:val="left"/>
            </w:pPr>
            <w:r/>
            <w:r>
              <w:rPr>
                <w:b w:val="0"/>
                <w:sz w:val="16"/>
              </w:rPr>
              <w:t>Epitalon fits best as a later sleep/circadian/longevity-oriented short cycle. Dihexa stays last and highest caution.</w:t>
            </w:r>
          </w:p>
        </w:tc>
      </w:tr>
    </w:tbl>
    <w:p>
      <w:r>
        <w:br w:type="page"/>
      </w:r>
    </w:p>
    <w:p>
      <w:pPr>
        <w:pStyle w:val="Heading1"/>
      </w:pPr>
      <w:r>
        <w:t>2. Phase Explanations</w:t>
      </w:r>
    </w:p>
    <w:p>
      <w:pPr>
        <w:pStyle w:val="Heading2"/>
      </w:pPr>
      <w:r>
        <w:t>Phase 1: NAD+ Foundation and Mitochondrial Build, Weeks 1-6</w:t>
      </w:r>
    </w:p>
    <w:p>
      <w:r>
        <w:t>Goal: restore the metabolic and redox baseline first, then layer mitochondrial support after NAD+ tolerance is clear. This phase should feel intentionally boring at first. Boring is data.</w:t>
      </w:r>
    </w:p>
    <w:p>
      <w:pPr>
        <w:pStyle w:val="ListBullet"/>
      </w:pPr>
      <w:r>
        <w:t>Weeks 1-2: NAD+ only. Do not add MOTS-c, repair peptides, cognitive peptides, or Epitalon yet.</w:t>
      </w:r>
    </w:p>
    <w:p>
      <w:pPr>
        <w:pStyle w:val="ListBullet"/>
      </w:pPr>
      <w:r>
        <w:t>Week 3: add MOTS-c only if NAD+ tolerance is clearly good.</w:t>
      </w:r>
    </w:p>
    <w:p>
      <w:pPr>
        <w:pStyle w:val="ListBullet"/>
      </w:pPr>
      <w:r>
        <w:t>Weeks 5-6: move toward the higher NAD+ maintenance range only if lower ranges are well tolerated.</w:t>
      </w:r>
    </w:p>
    <w:p>
      <w:pPr>
        <w:pStyle w:val="ListBullet"/>
      </w:pPr>
      <w:r>
        <w:t>Track energy AM/PM, sleep quality, clarity/mood, digestion, injection-site response, training recovery, and resting heart rate if available.</w:t>
      </w:r>
    </w:p>
    <w:p>
      <w:pPr>
        <w:pStyle w:val="Heading2"/>
      </w:pPr>
      <w:r>
        <w:t>Phase 2: Early GHK-Cu and Repair Layer, Weeks 4-7</w:t>
      </w:r>
    </w:p>
    <w:p>
      <w:r>
        <w:t>Goal: introduce GHK-Cu earlier as its own clean intervention, then add BPC-157 and KPV after attribution is preserved. This avoids the “repair stack grenade launcher” problem.</w:t>
      </w:r>
    </w:p>
    <w:p>
      <w:pPr>
        <w:pStyle w:val="ListBullet"/>
      </w:pPr>
      <w:r>
        <w:t>Week 4: introduce GHK-Cu as a standalone layer after NAD+ and MOTS-c are stable.</w:t>
      </w:r>
    </w:p>
    <w:p>
      <w:pPr>
        <w:pStyle w:val="ListBullet"/>
      </w:pPr>
      <w:r>
        <w:t>Week 5 or 6: add BPC-157 and KPV after GHK-Cu has a quiet observation window.</w:t>
      </w:r>
    </w:p>
    <w:p>
      <w:pPr>
        <w:pStyle w:val="ListBullet"/>
      </w:pPr>
      <w:r>
        <w:t>Rationale: GHK-Cu is less likely to dominate appetite, glucose, or GI signals than retatrutide, but it still deserves its own observation window.</w:t>
      </w:r>
    </w:p>
    <w:p>
      <w:pPr>
        <w:pStyle w:val="ListBullet"/>
      </w:pPr>
      <w:r>
        <w:t>Avoid starting GHK-Cu, BPC-157, and KPV in the same week. Mechanistically attractive, observability nightmare.</w:t>
      </w:r>
    </w:p>
    <w:p>
      <w:pPr>
        <w:pStyle w:val="Heading2"/>
      </w:pPr>
      <w:r>
        <w:t>Phase 3: Metabolic Optimization with Retatrutide, Weeks 8-13+</w:t>
      </w:r>
    </w:p>
    <w:p>
      <w:r>
        <w:t>Goal: introduce retatrutide only after the metabolic and repair base is stable. Retatrutide is the most signal-dominant compound in the packet and should not be treated like just another small add-on.</w:t>
      </w:r>
    </w:p>
    <w:p>
      <w:pPr>
        <w:pStyle w:val="ListBullet"/>
      </w:pPr>
      <w:r>
        <w:t>Do not start before provider review, recent labs, and stable GI status.</w:t>
      </w:r>
    </w:p>
    <w:p>
      <w:pPr>
        <w:pStyle w:val="ListBullet"/>
      </w:pPr>
      <w:r>
        <w:t>Track appetite, hydration, constipation/diarrhea, nausea, reflux, abdominal pain, sleep, mood, resting heart rate, training performance, and weight trend.</w:t>
      </w:r>
    </w:p>
    <w:p>
      <w:pPr>
        <w:pStyle w:val="ListBullet"/>
      </w:pPr>
      <w:r>
        <w:t>If liver or lipid markers worsen, treat that as a review trigger rather than pushing through.</w:t>
      </w:r>
    </w:p>
    <w:p>
      <w:pPr>
        <w:pStyle w:val="Heading2"/>
      </w:pPr>
      <w:r>
        <w:t>Phase 4: Cognitive, Circadian, and Longevity Layer, Weeks 11-15+</w:t>
      </w:r>
    </w:p>
    <w:p>
      <w:r>
        <w:t>Goal: add nootropic, sleep/circadian, or longevity-oriented peptides only after the metabolic layer is not actively moving the goalposts.</w:t>
      </w:r>
    </w:p>
    <w:p>
      <w:pPr>
        <w:pStyle w:val="ListBullet"/>
      </w:pPr>
      <w:r>
        <w:t>Semax/Selank: consider only once retatrutide is stable and sleep/mood are clean.</w:t>
      </w:r>
    </w:p>
    <w:p>
      <w:pPr>
        <w:pStyle w:val="ListBullet"/>
      </w:pPr>
      <w:r>
        <w:t>Epitalon: best placed after retatrutide has a stable low-dose rhythm and before any Dihexa decision. Use as a short, clearly bounded cycle rather than an open-ended add.</w:t>
      </w:r>
    </w:p>
    <w:p>
      <w:pPr>
        <w:pStyle w:val="ListBullet"/>
      </w:pPr>
      <w:r>
        <w:t>Dihexa: highest caution. Keep later, short, and provider-supervised. Do not introduce while other variables are moving.</w:t>
      </w:r>
    </w:p>
    <w:p>
      <w:r>
        <w:br w:type="page"/>
      </w:r>
    </w:p>
    <w:p>
      <w:pPr>
        <w:pStyle w:val="Heading1"/>
      </w:pPr>
      <w:r>
        <w:t>3. Decision Gates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256"/>
        <w:gridCol w:w="5256"/>
      </w:tblGrid>
      <w:tr>
        <w:tc>
          <w:tcPr>
            <w:tcW w:type="dxa" w:w="2592"/>
            <w:vAlign w:val="top"/>
            <w:shd w:fill="D9EAF7"/>
          </w:tcPr>
          <w:p>
            <w:pPr>
              <w:jc w:val="left"/>
            </w:pPr>
            <w:r/>
            <w:r>
              <w:rPr>
                <w:b/>
                <w:sz w:val="16"/>
              </w:rPr>
              <w:t>Gate</w:t>
            </w:r>
          </w:p>
        </w:tc>
        <w:tc>
          <w:tcPr>
            <w:tcW w:type="dxa" w:w="7776"/>
            <w:vAlign w:val="top"/>
            <w:shd w:fill="D9EAF7"/>
          </w:tcPr>
          <w:p>
            <w:pPr>
              <w:jc w:val="left"/>
            </w:pPr>
            <w:r/>
            <w:r>
              <w:rPr>
                <w:b/>
                <w:sz w:val="16"/>
              </w:rPr>
              <w:t>Continue only if</w:t>
            </w:r>
          </w:p>
        </w:tc>
      </w:tr>
      <w:tr>
        <w:tc>
          <w:tcPr>
            <w:tcW w:type="dxa" w:w="2592"/>
            <w:vAlign w:val="top"/>
          </w:tcPr>
          <w:p>
            <w:pPr>
              <w:jc w:val="left"/>
            </w:pPr>
            <w:r/>
            <w:r>
              <w:rPr>
                <w:b w:val="0"/>
                <w:sz w:val="16"/>
              </w:rPr>
              <w:t>Add MOTS-c</w:t>
            </w:r>
          </w:p>
        </w:tc>
        <w:tc>
          <w:tcPr>
            <w:tcW w:type="dxa" w:w="7776"/>
            <w:vAlign w:val="top"/>
          </w:tcPr>
          <w:p>
            <w:pPr>
              <w:jc w:val="left"/>
            </w:pPr>
            <w:r/>
            <w:r>
              <w:rPr>
                <w:b w:val="0"/>
                <w:sz w:val="16"/>
              </w:rPr>
              <w:t>NAD+ has no persistent adverse signal.</w:t>
            </w:r>
          </w:p>
        </w:tc>
      </w:tr>
      <w:tr>
        <w:tc>
          <w:tcPr>
            <w:tcW w:type="dxa" w:w="2592"/>
            <w:vAlign w:val="top"/>
          </w:tcPr>
          <w:p>
            <w:pPr>
              <w:jc w:val="left"/>
            </w:pPr>
            <w:r/>
            <w:r>
              <w:rPr>
                <w:b w:val="0"/>
                <w:sz w:val="16"/>
              </w:rPr>
              <w:t>Add GHK-Cu</w:t>
            </w:r>
          </w:p>
        </w:tc>
        <w:tc>
          <w:tcPr>
            <w:tcW w:type="dxa" w:w="7776"/>
            <w:vAlign w:val="top"/>
          </w:tcPr>
          <w:p>
            <w:pPr>
              <w:jc w:val="left"/>
            </w:pPr>
            <w:r/>
            <w:r>
              <w:rPr>
                <w:b w:val="0"/>
                <w:sz w:val="16"/>
              </w:rPr>
              <w:t>NAD+ + MOTS-c are stable; no unresolved sleep, mood, HR, GI, or injection-site issue.</w:t>
            </w:r>
          </w:p>
        </w:tc>
      </w:tr>
      <w:tr>
        <w:tc>
          <w:tcPr>
            <w:tcW w:type="dxa" w:w="2592"/>
            <w:vAlign w:val="top"/>
          </w:tcPr>
          <w:p>
            <w:pPr>
              <w:jc w:val="left"/>
            </w:pPr>
            <w:r/>
            <w:r>
              <w:rPr>
                <w:b w:val="0"/>
                <w:sz w:val="16"/>
              </w:rPr>
              <w:t>Add BPC/KPV</w:t>
            </w:r>
          </w:p>
        </w:tc>
        <w:tc>
          <w:tcPr>
            <w:tcW w:type="dxa" w:w="7776"/>
            <w:vAlign w:val="top"/>
          </w:tcPr>
          <w:p>
            <w:pPr>
              <w:jc w:val="left"/>
            </w:pPr>
            <w:r/>
            <w:r>
              <w:rPr>
                <w:b w:val="0"/>
                <w:sz w:val="16"/>
              </w:rPr>
              <w:t>GHK-Cu has had a quiet observation window and there are no unresolved inflammatory, sleep, mood, or GI issues.</w:t>
            </w:r>
          </w:p>
        </w:tc>
      </w:tr>
      <w:tr>
        <w:tc>
          <w:tcPr>
            <w:tcW w:type="dxa" w:w="2592"/>
            <w:vAlign w:val="top"/>
          </w:tcPr>
          <w:p>
            <w:pPr>
              <w:jc w:val="left"/>
            </w:pPr>
            <w:r/>
            <w:r>
              <w:rPr>
                <w:b w:val="0"/>
                <w:sz w:val="16"/>
              </w:rPr>
              <w:t>Add retatrutide</w:t>
            </w:r>
          </w:p>
        </w:tc>
        <w:tc>
          <w:tcPr>
            <w:tcW w:type="dxa" w:w="7776"/>
            <w:vAlign w:val="top"/>
          </w:tcPr>
          <w:p>
            <w:pPr>
              <w:jc w:val="left"/>
            </w:pPr>
            <w:r/>
            <w:r>
              <w:rPr>
                <w:b w:val="0"/>
                <w:sz w:val="16"/>
              </w:rPr>
              <w:t>Recent labs reviewed, provider approval, no active GI issues, stable hydration/electrolytes, and resting HR acceptable.</w:t>
            </w:r>
          </w:p>
        </w:tc>
      </w:tr>
      <w:tr>
        <w:tc>
          <w:tcPr>
            <w:tcW w:type="dxa" w:w="2592"/>
            <w:vAlign w:val="top"/>
          </w:tcPr>
          <w:p>
            <w:pPr>
              <w:jc w:val="left"/>
            </w:pPr>
            <w:r/>
            <w:r>
              <w:rPr>
                <w:b w:val="0"/>
                <w:sz w:val="16"/>
              </w:rPr>
              <w:t>Add Semax/Selank</w:t>
            </w:r>
          </w:p>
        </w:tc>
        <w:tc>
          <w:tcPr>
            <w:tcW w:type="dxa" w:w="7776"/>
            <w:vAlign w:val="top"/>
          </w:tcPr>
          <w:p>
            <w:pPr>
              <w:jc w:val="left"/>
            </w:pPr>
            <w:r/>
            <w:r>
              <w:rPr>
                <w:b w:val="0"/>
                <w:sz w:val="16"/>
              </w:rPr>
              <w:t>Retatrutide is stable and not causing sleep, mood, anxiety, or appetite-overrestriction issues.</w:t>
            </w:r>
          </w:p>
        </w:tc>
      </w:tr>
      <w:tr>
        <w:tc>
          <w:tcPr>
            <w:tcW w:type="dxa" w:w="2592"/>
            <w:vAlign w:val="top"/>
          </w:tcPr>
          <w:p>
            <w:pPr>
              <w:jc w:val="left"/>
            </w:pPr>
            <w:r/>
            <w:r>
              <w:rPr>
                <w:b w:val="0"/>
                <w:sz w:val="16"/>
              </w:rPr>
              <w:t>Add Epitalon</w:t>
            </w:r>
          </w:p>
        </w:tc>
        <w:tc>
          <w:tcPr>
            <w:tcW w:type="dxa" w:w="7776"/>
            <w:vAlign w:val="top"/>
          </w:tcPr>
          <w:p>
            <w:pPr>
              <w:jc w:val="left"/>
            </w:pPr>
            <w:r/>
            <w:r>
              <w:rPr>
                <w:b w:val="0"/>
                <w:sz w:val="16"/>
              </w:rPr>
              <w:t>Semax/Selank are either not being used or are stable; sleep/circadian tracking is in place.</w:t>
            </w:r>
          </w:p>
        </w:tc>
      </w:tr>
      <w:tr>
        <w:tc>
          <w:tcPr>
            <w:tcW w:type="dxa" w:w="2592"/>
            <w:vAlign w:val="top"/>
          </w:tcPr>
          <w:p>
            <w:pPr>
              <w:jc w:val="left"/>
            </w:pPr>
            <w:r/>
            <w:r>
              <w:rPr>
                <w:b w:val="0"/>
                <w:sz w:val="16"/>
              </w:rPr>
              <w:t>Consider Dihexa</w:t>
            </w:r>
          </w:p>
        </w:tc>
        <w:tc>
          <w:tcPr>
            <w:tcW w:type="dxa" w:w="7776"/>
            <w:vAlign w:val="top"/>
          </w:tcPr>
          <w:p>
            <w:pPr>
              <w:jc w:val="left"/>
            </w:pPr>
            <w:r/>
            <w:r>
              <w:rPr>
                <w:b w:val="0"/>
                <w:sz w:val="16"/>
              </w:rPr>
              <w:t>All other variables are stable. Provider has reviewed risk/benefit. Use only if there is a specific reason, not just because it exists.</w:t>
            </w:r>
          </w:p>
        </w:tc>
      </w:tr>
    </w:tbl>
    <w:p>
      <w:r>
        <w:br w:type="page"/>
      </w:r>
    </w:p>
    <w:p>
      <w:pPr>
        <w:pStyle w:val="Heading1"/>
      </w:pPr>
      <w:r>
        <w:t>4. Total Materials Planning, Weeks 1-15</w:t>
      </w:r>
    </w:p>
    <w:p>
      <w:r>
        <w:t>These totals are planning math based on the draft protocol through Week 15. They are not medical instructions. Maintenance beyond Week 15 should be calculated separately by multiplying the weekly amount by the number of additional weeks.</w:t>
      </w:r>
    </w:p>
    <w:p>
      <w:r>
        <w:t>Bacteriostatic-water math: total bac water in mL = total mg needed / selected concentration in mg per mL. Actual vial-by-vial reconstitution depends on vial size, route, concentration comfort, and provider/pharmacy instructions.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752"/>
        <w:gridCol w:w="1752"/>
        <w:gridCol w:w="1752"/>
        <w:gridCol w:w="1752"/>
        <w:gridCol w:w="1752"/>
        <w:gridCol w:w="1752"/>
      </w:tblGrid>
      <w:tr>
        <w:tc>
          <w:tcPr>
            <w:tcW w:type="dxa" w:w="1224"/>
            <w:vAlign w:val="top"/>
            <w:shd w:fill="D9EAF7"/>
          </w:tcPr>
          <w:p>
            <w:pPr>
              <w:jc w:val="left"/>
            </w:pPr>
            <w:r/>
            <w:r>
              <w:rPr>
                <w:b/>
                <w:sz w:val="14"/>
              </w:rPr>
              <w:t>Substance</w:t>
            </w:r>
          </w:p>
        </w:tc>
        <w:tc>
          <w:tcPr>
            <w:tcW w:type="dxa" w:w="1296"/>
            <w:vAlign w:val="top"/>
            <w:shd w:fill="D9EAF7"/>
          </w:tcPr>
          <w:p>
            <w:pPr>
              <w:jc w:val="left"/>
            </w:pPr>
            <w:r/>
            <w:r>
              <w:rPr>
                <w:b/>
                <w:sz w:val="14"/>
              </w:rPr>
              <w:t>Planning window</w:t>
            </w:r>
          </w:p>
        </w:tc>
        <w:tc>
          <w:tcPr>
            <w:tcW w:type="dxa" w:w="2736"/>
            <w:vAlign w:val="top"/>
            <w:shd w:fill="D9EAF7"/>
          </w:tcPr>
          <w:p>
            <w:pPr>
              <w:jc w:val="left"/>
            </w:pPr>
            <w:r/>
            <w:r>
              <w:rPr>
                <w:b/>
                <w:sz w:val="14"/>
              </w:rPr>
              <w:t>Draft usage assumption</w:t>
            </w:r>
          </w:p>
        </w:tc>
        <w:tc>
          <w:tcPr>
            <w:tcW w:type="dxa" w:w="1440"/>
            <w:vAlign w:val="top"/>
            <w:shd w:fill="D9EAF7"/>
          </w:tcPr>
          <w:p>
            <w:pPr>
              <w:jc w:val="left"/>
            </w:pPr>
            <w:r/>
            <w:r>
              <w:rPr>
                <w:b/>
                <w:sz w:val="14"/>
              </w:rPr>
              <w:t>Total mg needed</w:t>
            </w:r>
          </w:p>
        </w:tc>
        <w:tc>
          <w:tcPr>
            <w:tcW w:type="dxa" w:w="2088"/>
            <w:vAlign w:val="top"/>
            <w:shd w:fill="D9EAF7"/>
          </w:tcPr>
          <w:p>
            <w:pPr>
              <w:jc w:val="left"/>
            </w:pPr>
            <w:r/>
            <w:r>
              <w:rPr>
                <w:b/>
                <w:sz w:val="14"/>
              </w:rPr>
              <w:t>Bac water planning examples</w:t>
            </w:r>
          </w:p>
        </w:tc>
        <w:tc>
          <w:tcPr>
            <w:tcW w:type="dxa" w:w="2232"/>
            <w:vAlign w:val="top"/>
            <w:shd w:fill="D9EAF7"/>
          </w:tcPr>
          <w:p>
            <w:pPr>
              <w:jc w:val="left"/>
            </w:pPr>
            <w:r/>
            <w:r>
              <w:rPr>
                <w:b/>
                <w:sz w:val="14"/>
              </w:rPr>
              <w:t>Notes</w:t>
            </w:r>
          </w:p>
        </w:tc>
      </w:tr>
      <w:tr>
        <w:tc>
          <w:tcPr>
            <w:tcW w:type="dxa" w:w="1224"/>
            <w:vAlign w:val="top"/>
          </w:tcPr>
          <w:p>
            <w:pPr>
              <w:jc w:val="left"/>
            </w:pPr>
            <w:r/>
            <w:r>
              <w:rPr>
                <w:b w:val="0"/>
                <w:sz w:val="14"/>
              </w:rPr>
              <w:t>NAD+</w:t>
            </w:r>
          </w:p>
        </w:tc>
        <w:tc>
          <w:tcPr>
            <w:tcW w:type="dxa" w:w="1296"/>
            <w:vAlign w:val="top"/>
          </w:tcPr>
          <w:p>
            <w:pPr>
              <w:jc w:val="left"/>
            </w:pPr>
            <w:r/>
            <w:r>
              <w:rPr>
                <w:b w:val="0"/>
                <w:sz w:val="14"/>
              </w:rPr>
              <w:t>Weeks 1-15</w:t>
            </w:r>
          </w:p>
        </w:tc>
        <w:tc>
          <w:tcPr>
            <w:tcW w:type="dxa" w:w="2736"/>
            <w:vAlign w:val="top"/>
          </w:tcPr>
          <w:p>
            <w:pPr>
              <w:jc w:val="left"/>
            </w:pPr>
            <w:r/>
            <w:r>
              <w:rPr>
                <w:b w:val="0"/>
                <w:sz w:val="14"/>
              </w:rPr>
              <w:t>W1-2: 25 mg 2x/wk; W3-4: 50 mg 2-3x/wk; W5-6: 75-100 mg 2-3x/wk; W7-15: 100 mg 2-3x/wk</w:t>
            </w:r>
          </w:p>
        </w:tc>
        <w:tc>
          <w:tcPr>
            <w:tcW w:type="dxa" w:w="1440"/>
            <w:vAlign w:val="top"/>
          </w:tcPr>
          <w:p>
            <w:pPr>
              <w:jc w:val="left"/>
            </w:pPr>
            <w:r/>
            <w:r>
              <w:rPr>
                <w:b w:val="0"/>
                <w:sz w:val="14"/>
              </w:rPr>
              <w:t>2,400-3,700 mg</w:t>
            </w:r>
          </w:p>
        </w:tc>
        <w:tc>
          <w:tcPr>
            <w:tcW w:type="dxa" w:w="2088"/>
            <w:vAlign w:val="top"/>
          </w:tcPr>
          <w:p>
            <w:pPr>
              <w:jc w:val="left"/>
            </w:pPr>
            <w:r/>
            <w:r>
              <w:rPr>
                <w:b w:val="0"/>
                <w:sz w:val="14"/>
              </w:rPr>
              <w:t>At 50 mg/mL: 48-74 mL total bac water. At 100 mg/mL: 24-37 mL.</w:t>
            </w:r>
          </w:p>
        </w:tc>
        <w:tc>
          <w:tcPr>
            <w:tcW w:type="dxa" w:w="2232"/>
            <w:vAlign w:val="top"/>
          </w:tcPr>
          <w:p>
            <w:pPr>
              <w:jc w:val="left"/>
            </w:pPr>
            <w:r/>
            <w:r>
              <w:rPr>
                <w:b w:val="0"/>
                <w:sz w:val="14"/>
              </w:rPr>
              <w:t>Large-volume planning item. Confirm concentration, comfort, and route with provider.</w:t>
            </w:r>
          </w:p>
        </w:tc>
      </w:tr>
      <w:tr>
        <w:tc>
          <w:tcPr>
            <w:tcW w:type="dxa" w:w="1224"/>
            <w:vAlign w:val="top"/>
          </w:tcPr>
          <w:p>
            <w:pPr>
              <w:jc w:val="left"/>
            </w:pPr>
            <w:r/>
            <w:r>
              <w:rPr>
                <w:b w:val="0"/>
                <w:sz w:val="14"/>
              </w:rPr>
              <w:t>MOTS-c</w:t>
            </w:r>
          </w:p>
        </w:tc>
        <w:tc>
          <w:tcPr>
            <w:tcW w:type="dxa" w:w="1296"/>
            <w:vAlign w:val="top"/>
          </w:tcPr>
          <w:p>
            <w:pPr>
              <w:jc w:val="left"/>
            </w:pPr>
            <w:r/>
            <w:r>
              <w:rPr>
                <w:b w:val="0"/>
                <w:sz w:val="14"/>
              </w:rPr>
              <w:t>Weeks 3-15</w:t>
            </w:r>
          </w:p>
        </w:tc>
        <w:tc>
          <w:tcPr>
            <w:tcW w:type="dxa" w:w="2736"/>
            <w:vAlign w:val="top"/>
          </w:tcPr>
          <w:p>
            <w:pPr>
              <w:jc w:val="left"/>
            </w:pPr>
            <w:r/>
            <w:r>
              <w:rPr>
                <w:b w:val="0"/>
                <w:sz w:val="14"/>
              </w:rPr>
              <w:t>Baseline planning: 5 mg 2x/wk. Higher optional path materially changes totals.</w:t>
            </w:r>
          </w:p>
        </w:tc>
        <w:tc>
          <w:tcPr>
            <w:tcW w:type="dxa" w:w="1440"/>
            <w:vAlign w:val="top"/>
          </w:tcPr>
          <w:p>
            <w:pPr>
              <w:jc w:val="left"/>
            </w:pPr>
            <w:r/>
            <w:r>
              <w:rPr>
                <w:b w:val="0"/>
                <w:sz w:val="14"/>
              </w:rPr>
              <w:t>130 mg baseline; up to ~390 mg if 10 mg 3x/wk from W5-15</w:t>
            </w:r>
          </w:p>
        </w:tc>
        <w:tc>
          <w:tcPr>
            <w:tcW w:type="dxa" w:w="2088"/>
            <w:vAlign w:val="top"/>
          </w:tcPr>
          <w:p>
            <w:pPr>
              <w:jc w:val="left"/>
            </w:pPr>
            <w:r/>
            <w:r>
              <w:rPr>
                <w:b w:val="0"/>
                <w:sz w:val="14"/>
              </w:rPr>
              <w:t>At 10 mg/mL: 13-39 mL.</w:t>
            </w:r>
          </w:p>
        </w:tc>
        <w:tc>
          <w:tcPr>
            <w:tcW w:type="dxa" w:w="2232"/>
            <w:vAlign w:val="top"/>
          </w:tcPr>
          <w:p>
            <w:pPr>
              <w:jc w:val="left"/>
            </w:pPr>
            <w:r/>
            <w:r>
              <w:rPr>
                <w:b w:val="0"/>
                <w:sz w:val="14"/>
              </w:rPr>
              <w:t>Experimental; FDA has flagged limited human exposure and peptide-quality concerns.</w:t>
            </w:r>
          </w:p>
        </w:tc>
      </w:tr>
      <w:tr>
        <w:tc>
          <w:tcPr>
            <w:tcW w:type="dxa" w:w="1224"/>
            <w:vAlign w:val="top"/>
          </w:tcPr>
          <w:p>
            <w:pPr>
              <w:jc w:val="left"/>
            </w:pPr>
            <w:r/>
            <w:r>
              <w:rPr>
                <w:b w:val="0"/>
                <w:sz w:val="14"/>
              </w:rPr>
              <w:t>GHK-Cu</w:t>
            </w:r>
          </w:p>
        </w:tc>
        <w:tc>
          <w:tcPr>
            <w:tcW w:type="dxa" w:w="1296"/>
            <w:vAlign w:val="top"/>
          </w:tcPr>
          <w:p>
            <w:pPr>
              <w:jc w:val="left"/>
            </w:pPr>
            <w:r/>
            <w:r>
              <w:rPr>
                <w:b w:val="0"/>
                <w:sz w:val="14"/>
              </w:rPr>
              <w:t>Weeks 4-15</w:t>
            </w:r>
          </w:p>
        </w:tc>
        <w:tc>
          <w:tcPr>
            <w:tcW w:type="dxa" w:w="2736"/>
            <w:vAlign w:val="top"/>
          </w:tcPr>
          <w:p>
            <w:pPr>
              <w:jc w:val="left"/>
            </w:pPr>
            <w:r/>
            <w:r>
              <w:rPr>
                <w:b w:val="0"/>
                <w:sz w:val="14"/>
              </w:rPr>
              <w:t>1 mg daily; possible titration to 1.5-2 mg daily after tolerance</w:t>
            </w:r>
          </w:p>
        </w:tc>
        <w:tc>
          <w:tcPr>
            <w:tcW w:type="dxa" w:w="1440"/>
            <w:vAlign w:val="top"/>
          </w:tcPr>
          <w:p>
            <w:pPr>
              <w:jc w:val="left"/>
            </w:pPr>
            <w:r/>
            <w:r>
              <w:rPr>
                <w:b w:val="0"/>
                <w:sz w:val="14"/>
              </w:rPr>
              <w:t>84-168 mg</w:t>
            </w:r>
          </w:p>
        </w:tc>
        <w:tc>
          <w:tcPr>
            <w:tcW w:type="dxa" w:w="2088"/>
            <w:vAlign w:val="top"/>
          </w:tcPr>
          <w:p>
            <w:pPr>
              <w:jc w:val="left"/>
            </w:pPr>
            <w:r/>
            <w:r>
              <w:rPr>
                <w:b w:val="0"/>
                <w:sz w:val="14"/>
              </w:rPr>
              <w:t>At 10 mg/mL: 8.4-16.8 mL. At 20 mg/mL: 4.2-8.4 mL.</w:t>
            </w:r>
          </w:p>
        </w:tc>
        <w:tc>
          <w:tcPr>
            <w:tcW w:type="dxa" w:w="2232"/>
            <w:vAlign w:val="top"/>
          </w:tcPr>
          <w:p>
            <w:pPr>
              <w:jc w:val="left"/>
            </w:pPr>
            <w:r/>
            <w:r>
              <w:rPr>
                <w:b w:val="0"/>
                <w:sz w:val="14"/>
              </w:rPr>
              <w:t>Earlier add, but keep standalone for one week before BPC/KPV.</w:t>
            </w:r>
          </w:p>
        </w:tc>
      </w:tr>
      <w:tr>
        <w:tc>
          <w:tcPr>
            <w:tcW w:type="dxa" w:w="1224"/>
            <w:vAlign w:val="top"/>
          </w:tcPr>
          <w:p>
            <w:pPr>
              <w:jc w:val="left"/>
            </w:pPr>
            <w:r/>
            <w:r>
              <w:rPr>
                <w:b w:val="0"/>
                <w:sz w:val="14"/>
              </w:rPr>
              <w:t>BPC-157</w:t>
            </w:r>
          </w:p>
        </w:tc>
        <w:tc>
          <w:tcPr>
            <w:tcW w:type="dxa" w:w="1296"/>
            <w:vAlign w:val="top"/>
          </w:tcPr>
          <w:p>
            <w:pPr>
              <w:jc w:val="left"/>
            </w:pPr>
            <w:r/>
            <w:r>
              <w:rPr>
                <w:b w:val="0"/>
                <w:sz w:val="14"/>
              </w:rPr>
              <w:t>Weeks 5-15</w:t>
            </w:r>
          </w:p>
        </w:tc>
        <w:tc>
          <w:tcPr>
            <w:tcW w:type="dxa" w:w="2736"/>
            <w:vAlign w:val="top"/>
          </w:tcPr>
          <w:p>
            <w:pPr>
              <w:jc w:val="left"/>
            </w:pPr>
            <w:r/>
            <w:r>
              <w:rPr>
                <w:b w:val="0"/>
                <w:sz w:val="14"/>
              </w:rPr>
              <w:t>250-500 mcg daily</w:t>
            </w:r>
          </w:p>
        </w:tc>
        <w:tc>
          <w:tcPr>
            <w:tcW w:type="dxa" w:w="1440"/>
            <w:vAlign w:val="top"/>
          </w:tcPr>
          <w:p>
            <w:pPr>
              <w:jc w:val="left"/>
            </w:pPr>
            <w:r/>
            <w:r>
              <w:rPr>
                <w:b w:val="0"/>
                <w:sz w:val="14"/>
              </w:rPr>
              <w:t>19.25-38.5 mg</w:t>
            </w:r>
          </w:p>
        </w:tc>
        <w:tc>
          <w:tcPr>
            <w:tcW w:type="dxa" w:w="2088"/>
            <w:vAlign w:val="top"/>
          </w:tcPr>
          <w:p>
            <w:pPr>
              <w:jc w:val="left"/>
            </w:pPr>
            <w:r/>
            <w:r>
              <w:rPr>
                <w:b w:val="0"/>
                <w:sz w:val="14"/>
              </w:rPr>
              <w:t>At 5 mg/mL: 3.85-7.7 mL. At 10 mg/mL: 1.93-3.85 mL.</w:t>
            </w:r>
          </w:p>
        </w:tc>
        <w:tc>
          <w:tcPr>
            <w:tcW w:type="dxa" w:w="2232"/>
            <w:vAlign w:val="top"/>
          </w:tcPr>
          <w:p>
            <w:pPr>
              <w:jc w:val="left"/>
            </w:pPr>
            <w:r/>
            <w:r>
              <w:rPr>
                <w:b w:val="0"/>
                <w:sz w:val="14"/>
              </w:rPr>
              <w:t>Limited human evidence and sourcing/regulatory concerns.</w:t>
            </w:r>
          </w:p>
        </w:tc>
      </w:tr>
      <w:tr>
        <w:tc>
          <w:tcPr>
            <w:tcW w:type="dxa" w:w="1224"/>
            <w:vAlign w:val="top"/>
          </w:tcPr>
          <w:p>
            <w:pPr>
              <w:jc w:val="left"/>
            </w:pPr>
            <w:r/>
            <w:r>
              <w:rPr>
                <w:b w:val="0"/>
                <w:sz w:val="14"/>
              </w:rPr>
              <w:t>KPV</w:t>
            </w:r>
          </w:p>
        </w:tc>
        <w:tc>
          <w:tcPr>
            <w:tcW w:type="dxa" w:w="1296"/>
            <w:vAlign w:val="top"/>
          </w:tcPr>
          <w:p>
            <w:pPr>
              <w:jc w:val="left"/>
            </w:pPr>
            <w:r/>
            <w:r>
              <w:rPr>
                <w:b w:val="0"/>
                <w:sz w:val="14"/>
              </w:rPr>
              <w:t>Weeks 5-15</w:t>
            </w:r>
          </w:p>
        </w:tc>
        <w:tc>
          <w:tcPr>
            <w:tcW w:type="dxa" w:w="2736"/>
            <w:vAlign w:val="top"/>
          </w:tcPr>
          <w:p>
            <w:pPr>
              <w:jc w:val="left"/>
            </w:pPr>
            <w:r/>
            <w:r>
              <w:rPr>
                <w:b w:val="0"/>
                <w:sz w:val="14"/>
              </w:rPr>
              <w:t>200-500 mcg daily</w:t>
            </w:r>
          </w:p>
        </w:tc>
        <w:tc>
          <w:tcPr>
            <w:tcW w:type="dxa" w:w="1440"/>
            <w:vAlign w:val="top"/>
          </w:tcPr>
          <w:p>
            <w:pPr>
              <w:jc w:val="left"/>
            </w:pPr>
            <w:r/>
            <w:r>
              <w:rPr>
                <w:b w:val="0"/>
                <w:sz w:val="14"/>
              </w:rPr>
              <w:t>15.4-38.5 mg</w:t>
            </w:r>
          </w:p>
        </w:tc>
        <w:tc>
          <w:tcPr>
            <w:tcW w:type="dxa" w:w="2088"/>
            <w:vAlign w:val="top"/>
          </w:tcPr>
          <w:p>
            <w:pPr>
              <w:jc w:val="left"/>
            </w:pPr>
            <w:r/>
            <w:r>
              <w:rPr>
                <w:b w:val="0"/>
                <w:sz w:val="14"/>
              </w:rPr>
              <w:t>At 5 mg/mL: 3.08-7.7 mL. At 10 mg/mL: 1.54-3.85 mL.</w:t>
            </w:r>
          </w:p>
        </w:tc>
        <w:tc>
          <w:tcPr>
            <w:tcW w:type="dxa" w:w="2232"/>
            <w:vAlign w:val="top"/>
          </w:tcPr>
          <w:p>
            <w:pPr>
              <w:jc w:val="left"/>
            </w:pPr>
            <w:r/>
            <w:r>
              <w:rPr>
                <w:b w:val="0"/>
                <w:sz w:val="14"/>
              </w:rPr>
              <w:t>SubQ or oral route decision belongs with provider.</w:t>
            </w:r>
          </w:p>
        </w:tc>
      </w:tr>
      <w:tr>
        <w:tc>
          <w:tcPr>
            <w:tcW w:type="dxa" w:w="1224"/>
            <w:vAlign w:val="top"/>
          </w:tcPr>
          <w:p>
            <w:pPr>
              <w:jc w:val="left"/>
            </w:pPr>
            <w:r/>
            <w:r>
              <w:rPr>
                <w:b w:val="0"/>
                <w:sz w:val="14"/>
              </w:rPr>
              <w:t>Retatrutide</w:t>
            </w:r>
          </w:p>
        </w:tc>
        <w:tc>
          <w:tcPr>
            <w:tcW w:type="dxa" w:w="1296"/>
            <w:vAlign w:val="top"/>
          </w:tcPr>
          <w:p>
            <w:pPr>
              <w:jc w:val="left"/>
            </w:pPr>
            <w:r/>
            <w:r>
              <w:rPr>
                <w:b w:val="0"/>
                <w:sz w:val="14"/>
              </w:rPr>
              <w:t>Weeks 8-15 example only</w:t>
            </w:r>
          </w:p>
        </w:tc>
        <w:tc>
          <w:tcPr>
            <w:tcW w:type="dxa" w:w="2736"/>
            <w:vAlign w:val="top"/>
          </w:tcPr>
          <w:p>
            <w:pPr>
              <w:jc w:val="left"/>
            </w:pPr>
            <w:r/>
            <w:r>
              <w:rPr>
                <w:b w:val="0"/>
                <w:sz w:val="14"/>
              </w:rPr>
              <w:t>Example conservative ramp: W8-9 0.5-1 mg/wk; W10-11 1-2 mg/wk; W12-13 2-4 mg/wk; W14-15 4-6 mg/wk</w:t>
            </w:r>
          </w:p>
        </w:tc>
        <w:tc>
          <w:tcPr>
            <w:tcW w:type="dxa" w:w="1440"/>
            <w:vAlign w:val="top"/>
          </w:tcPr>
          <w:p>
            <w:pPr>
              <w:jc w:val="left"/>
            </w:pPr>
            <w:r/>
            <w:r>
              <w:rPr>
                <w:b w:val="0"/>
                <w:sz w:val="14"/>
              </w:rPr>
              <w:t>15-26 mg for this 8-week ramp</w:t>
            </w:r>
          </w:p>
        </w:tc>
        <w:tc>
          <w:tcPr>
            <w:tcW w:type="dxa" w:w="2088"/>
            <w:vAlign w:val="top"/>
          </w:tcPr>
          <w:p>
            <w:pPr>
              <w:jc w:val="left"/>
            </w:pPr>
            <w:r/>
            <w:r>
              <w:rPr>
                <w:b w:val="0"/>
                <w:sz w:val="14"/>
              </w:rPr>
              <w:t>At 10 mg/mL: 1.5-2.6 mL. At 20 mg/mL: 0.75-1.3 mL.</w:t>
            </w:r>
          </w:p>
        </w:tc>
        <w:tc>
          <w:tcPr>
            <w:tcW w:type="dxa" w:w="2232"/>
            <w:vAlign w:val="top"/>
          </w:tcPr>
          <w:p>
            <w:pPr>
              <w:jc w:val="left"/>
            </w:pPr>
            <w:r/>
            <w:r>
              <w:rPr>
                <w:b w:val="0"/>
                <w:sz w:val="14"/>
              </w:rPr>
              <w:t>Investigational. Use actual prescribed ramp for purchasing math.</w:t>
            </w:r>
          </w:p>
        </w:tc>
      </w:tr>
      <w:tr>
        <w:tc>
          <w:tcPr>
            <w:tcW w:type="dxa" w:w="1224"/>
            <w:vAlign w:val="top"/>
          </w:tcPr>
          <w:p>
            <w:pPr>
              <w:jc w:val="left"/>
            </w:pPr>
            <w:r/>
            <w:r>
              <w:rPr>
                <w:b w:val="0"/>
                <w:sz w:val="14"/>
              </w:rPr>
              <w:t>Semax</w:t>
            </w:r>
          </w:p>
        </w:tc>
        <w:tc>
          <w:tcPr>
            <w:tcW w:type="dxa" w:w="1296"/>
            <w:vAlign w:val="top"/>
          </w:tcPr>
          <w:p>
            <w:pPr>
              <w:jc w:val="left"/>
            </w:pPr>
            <w:r/>
            <w:r>
              <w:rPr>
                <w:b w:val="0"/>
                <w:sz w:val="14"/>
              </w:rPr>
              <w:t>Weeks 11-15</w:t>
            </w:r>
          </w:p>
        </w:tc>
        <w:tc>
          <w:tcPr>
            <w:tcW w:type="dxa" w:w="2736"/>
            <w:vAlign w:val="top"/>
          </w:tcPr>
          <w:p>
            <w:pPr>
              <w:jc w:val="left"/>
            </w:pPr>
            <w:r/>
            <w:r>
              <w:rPr>
                <w:b w:val="0"/>
                <w:sz w:val="14"/>
              </w:rPr>
              <w:t>200-600 mcg/day</w:t>
            </w:r>
          </w:p>
        </w:tc>
        <w:tc>
          <w:tcPr>
            <w:tcW w:type="dxa" w:w="1440"/>
            <w:vAlign w:val="top"/>
          </w:tcPr>
          <w:p>
            <w:pPr>
              <w:jc w:val="left"/>
            </w:pPr>
            <w:r/>
            <w:r>
              <w:rPr>
                <w:b w:val="0"/>
                <w:sz w:val="14"/>
              </w:rPr>
              <w:t>7-21 mg</w:t>
            </w:r>
          </w:p>
        </w:tc>
        <w:tc>
          <w:tcPr>
            <w:tcW w:type="dxa" w:w="2088"/>
            <w:vAlign w:val="top"/>
          </w:tcPr>
          <w:p>
            <w:pPr>
              <w:jc w:val="left"/>
            </w:pPr>
            <w:r/>
            <w:r>
              <w:rPr>
                <w:b w:val="0"/>
                <w:sz w:val="14"/>
              </w:rPr>
              <w:t>At 5 mg/mL: 1.4-4.2 mL. At 10 mg/mL: 0.7-2.1 mL.</w:t>
            </w:r>
          </w:p>
        </w:tc>
        <w:tc>
          <w:tcPr>
            <w:tcW w:type="dxa" w:w="2232"/>
            <w:vAlign w:val="top"/>
          </w:tcPr>
          <w:p>
            <w:pPr>
              <w:jc w:val="left"/>
            </w:pPr>
            <w:r/>
            <w:r>
              <w:rPr>
                <w:b w:val="0"/>
                <w:sz w:val="14"/>
              </w:rPr>
              <w:t>Often nasal in practice; route/form changes material planning.</w:t>
            </w:r>
          </w:p>
        </w:tc>
      </w:tr>
      <w:tr>
        <w:tc>
          <w:tcPr>
            <w:tcW w:type="dxa" w:w="1224"/>
            <w:vAlign w:val="top"/>
          </w:tcPr>
          <w:p>
            <w:pPr>
              <w:jc w:val="left"/>
            </w:pPr>
            <w:r/>
            <w:r>
              <w:rPr>
                <w:b w:val="0"/>
                <w:sz w:val="14"/>
              </w:rPr>
              <w:t>Selank</w:t>
            </w:r>
          </w:p>
        </w:tc>
        <w:tc>
          <w:tcPr>
            <w:tcW w:type="dxa" w:w="1296"/>
            <w:vAlign w:val="top"/>
          </w:tcPr>
          <w:p>
            <w:pPr>
              <w:jc w:val="left"/>
            </w:pPr>
            <w:r/>
            <w:r>
              <w:rPr>
                <w:b w:val="0"/>
                <w:sz w:val="14"/>
              </w:rPr>
              <w:t>Weeks 11-15</w:t>
            </w:r>
          </w:p>
        </w:tc>
        <w:tc>
          <w:tcPr>
            <w:tcW w:type="dxa" w:w="2736"/>
            <w:vAlign w:val="top"/>
          </w:tcPr>
          <w:p>
            <w:pPr>
              <w:jc w:val="left"/>
            </w:pPr>
            <w:r/>
            <w:r>
              <w:rPr>
                <w:b w:val="0"/>
                <w:sz w:val="14"/>
              </w:rPr>
              <w:t>200-500 mcg/day</w:t>
            </w:r>
          </w:p>
        </w:tc>
        <w:tc>
          <w:tcPr>
            <w:tcW w:type="dxa" w:w="1440"/>
            <w:vAlign w:val="top"/>
          </w:tcPr>
          <w:p>
            <w:pPr>
              <w:jc w:val="left"/>
            </w:pPr>
            <w:r/>
            <w:r>
              <w:rPr>
                <w:b w:val="0"/>
                <w:sz w:val="14"/>
              </w:rPr>
              <w:t>7-17.5 mg</w:t>
            </w:r>
          </w:p>
        </w:tc>
        <w:tc>
          <w:tcPr>
            <w:tcW w:type="dxa" w:w="2088"/>
            <w:vAlign w:val="top"/>
          </w:tcPr>
          <w:p>
            <w:pPr>
              <w:jc w:val="left"/>
            </w:pPr>
            <w:r/>
            <w:r>
              <w:rPr>
                <w:b w:val="0"/>
                <w:sz w:val="14"/>
              </w:rPr>
              <w:t>At 5 mg/mL: 1.4-3.5 mL. At 10 mg/mL: 0.7-1.75 mL.</w:t>
            </w:r>
          </w:p>
        </w:tc>
        <w:tc>
          <w:tcPr>
            <w:tcW w:type="dxa" w:w="2232"/>
            <w:vAlign w:val="top"/>
          </w:tcPr>
          <w:p>
            <w:pPr>
              <w:jc w:val="left"/>
            </w:pPr>
            <w:r/>
            <w:r>
              <w:rPr>
                <w:b w:val="0"/>
                <w:sz w:val="14"/>
              </w:rPr>
              <w:t>Do not start if sleep, anxiety, or mood are unstable.</w:t>
            </w:r>
          </w:p>
        </w:tc>
      </w:tr>
      <w:tr>
        <w:tc>
          <w:tcPr>
            <w:tcW w:type="dxa" w:w="1224"/>
            <w:vAlign w:val="top"/>
          </w:tcPr>
          <w:p>
            <w:pPr>
              <w:jc w:val="left"/>
            </w:pPr>
            <w:r/>
            <w:r>
              <w:rPr>
                <w:b w:val="0"/>
                <w:sz w:val="14"/>
              </w:rPr>
              <w:t>Epitalon</w:t>
            </w:r>
          </w:p>
        </w:tc>
        <w:tc>
          <w:tcPr>
            <w:tcW w:type="dxa" w:w="1296"/>
            <w:vAlign w:val="top"/>
          </w:tcPr>
          <w:p>
            <w:pPr>
              <w:jc w:val="left"/>
            </w:pPr>
            <w:r/>
            <w:r>
              <w:rPr>
                <w:b w:val="0"/>
                <w:sz w:val="14"/>
              </w:rPr>
              <w:t>Week 13+ short cycle</w:t>
            </w:r>
          </w:p>
        </w:tc>
        <w:tc>
          <w:tcPr>
            <w:tcW w:type="dxa" w:w="2736"/>
            <w:vAlign w:val="top"/>
          </w:tcPr>
          <w:p>
            <w:pPr>
              <w:jc w:val="left"/>
            </w:pPr>
            <w:r/>
            <w:r>
              <w:rPr>
                <w:b w:val="0"/>
                <w:sz w:val="14"/>
              </w:rPr>
              <w:t>Provider-defined short cycle. Planning example: 1 mg/day for 10 days or 2 mg/day for 10 days.</w:t>
            </w:r>
          </w:p>
        </w:tc>
        <w:tc>
          <w:tcPr>
            <w:tcW w:type="dxa" w:w="1440"/>
            <w:vAlign w:val="top"/>
          </w:tcPr>
          <w:p>
            <w:pPr>
              <w:jc w:val="left"/>
            </w:pPr>
            <w:r/>
            <w:r>
              <w:rPr>
                <w:b w:val="0"/>
                <w:sz w:val="14"/>
              </w:rPr>
              <w:t>10-20 mg per cycle</w:t>
            </w:r>
          </w:p>
        </w:tc>
        <w:tc>
          <w:tcPr>
            <w:tcW w:type="dxa" w:w="2088"/>
            <w:vAlign w:val="top"/>
          </w:tcPr>
          <w:p>
            <w:pPr>
              <w:jc w:val="left"/>
            </w:pPr>
            <w:r/>
            <w:r>
              <w:rPr>
                <w:b w:val="0"/>
                <w:sz w:val="14"/>
              </w:rPr>
              <w:t>At 5 mg/mL: 2-4 mL. At 10 mg/mL: 1-2 mL.</w:t>
            </w:r>
          </w:p>
        </w:tc>
        <w:tc>
          <w:tcPr>
            <w:tcW w:type="dxa" w:w="2232"/>
            <w:vAlign w:val="top"/>
          </w:tcPr>
          <w:p>
            <w:pPr>
              <w:jc w:val="left"/>
            </w:pPr>
            <w:r/>
            <w:r>
              <w:rPr>
                <w:b w:val="0"/>
                <w:sz w:val="14"/>
              </w:rPr>
              <w:t>Best placed after retatrutide stability and before any Dihexa decision. Evidence is mostly mechanistic/limited human.</w:t>
            </w:r>
          </w:p>
        </w:tc>
      </w:tr>
      <w:tr>
        <w:tc>
          <w:tcPr>
            <w:tcW w:type="dxa" w:w="1224"/>
            <w:vAlign w:val="top"/>
          </w:tcPr>
          <w:p>
            <w:pPr>
              <w:jc w:val="left"/>
            </w:pPr>
            <w:r/>
            <w:r>
              <w:rPr>
                <w:b w:val="0"/>
                <w:sz w:val="14"/>
              </w:rPr>
              <w:t>Dihexa</w:t>
            </w:r>
          </w:p>
        </w:tc>
        <w:tc>
          <w:tcPr>
            <w:tcW w:type="dxa" w:w="1296"/>
            <w:vAlign w:val="top"/>
          </w:tcPr>
          <w:p>
            <w:pPr>
              <w:jc w:val="left"/>
            </w:pPr>
            <w:r/>
            <w:r>
              <w:rPr>
                <w:b w:val="0"/>
                <w:sz w:val="14"/>
              </w:rPr>
              <w:t>Optional later only</w:t>
            </w:r>
          </w:p>
        </w:tc>
        <w:tc>
          <w:tcPr>
            <w:tcW w:type="dxa" w:w="2736"/>
            <w:vAlign w:val="top"/>
          </w:tcPr>
          <w:p>
            <w:pPr>
              <w:jc w:val="left"/>
            </w:pPr>
            <w:r/>
            <w:r>
              <w:rPr>
                <w:b w:val="0"/>
                <w:sz w:val="14"/>
              </w:rPr>
              <w:t>No default included. Provider-defined short cautious cycle only.</w:t>
            </w:r>
          </w:p>
        </w:tc>
        <w:tc>
          <w:tcPr>
            <w:tcW w:type="dxa" w:w="1440"/>
            <w:vAlign w:val="top"/>
          </w:tcPr>
          <w:p>
            <w:pPr>
              <w:jc w:val="left"/>
            </w:pPr>
            <w:r/>
            <w:r>
              <w:rPr>
                <w:b w:val="0"/>
                <w:sz w:val="14"/>
              </w:rPr>
              <w:t>TBD</w:t>
            </w:r>
          </w:p>
        </w:tc>
        <w:tc>
          <w:tcPr>
            <w:tcW w:type="dxa" w:w="2088"/>
            <w:vAlign w:val="top"/>
          </w:tcPr>
          <w:p>
            <w:pPr>
              <w:jc w:val="left"/>
            </w:pPr>
            <w:r/>
            <w:r>
              <w:rPr>
                <w:b w:val="0"/>
                <w:sz w:val="14"/>
              </w:rPr>
              <w:t>TBD</w:t>
            </w:r>
          </w:p>
        </w:tc>
        <w:tc>
          <w:tcPr>
            <w:tcW w:type="dxa" w:w="2232"/>
            <w:vAlign w:val="top"/>
          </w:tcPr>
          <w:p>
            <w:pPr>
              <w:jc w:val="left"/>
            </w:pPr>
            <w:r/>
            <w:r>
              <w:rPr>
                <w:b w:val="0"/>
                <w:sz w:val="14"/>
              </w:rPr>
              <w:t>Excluded from purchasing totals unless a provider-defined dose is selected.</w:t>
            </w:r>
          </w:p>
        </w:tc>
      </w:tr>
    </w:tbl>
    <w:p>
      <w:r>
        <w:br w:type="page"/>
      </w:r>
    </w:p>
    <w:p>
      <w:pPr>
        <w:pStyle w:val="Heading1"/>
      </w:pPr>
      <w:r>
        <w:t>5. Support Stack and Meal Anchors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504"/>
        <w:gridCol w:w="3504"/>
        <w:gridCol w:w="3504"/>
      </w:tblGrid>
      <w:tr>
        <w:tc>
          <w:tcPr>
            <w:tcW w:type="dxa" w:w="2304"/>
            <w:vAlign w:val="top"/>
            <w:shd w:fill="D9EAF7"/>
          </w:tcPr>
          <w:p>
            <w:pPr>
              <w:jc w:val="left"/>
            </w:pPr>
            <w:r/>
            <w:r>
              <w:rPr>
                <w:b/>
                <w:sz w:val="16"/>
              </w:rPr>
              <w:t>Support item</w:t>
            </w:r>
          </w:p>
        </w:tc>
        <w:tc>
          <w:tcPr>
            <w:tcW w:type="dxa" w:w="2448"/>
            <w:vAlign w:val="top"/>
            <w:shd w:fill="D9EAF7"/>
          </w:tcPr>
          <w:p>
            <w:pPr>
              <w:jc w:val="left"/>
            </w:pPr>
            <w:r/>
            <w:r>
              <w:rPr>
                <w:b/>
                <w:sz w:val="16"/>
              </w:rPr>
              <w:t>Draft amount/timing</w:t>
            </w:r>
          </w:p>
        </w:tc>
        <w:tc>
          <w:tcPr>
            <w:tcW w:type="dxa" w:w="6192"/>
            <w:vAlign w:val="top"/>
            <w:shd w:fill="D9EAF7"/>
          </w:tcPr>
          <w:p>
            <w:pPr>
              <w:jc w:val="left"/>
            </w:pPr>
            <w:r/>
            <w:r>
              <w:rPr>
                <w:b/>
                <w:sz w:val="16"/>
              </w:rPr>
              <w:t>Purpose and caution notes</w:t>
            </w:r>
          </w:p>
        </w:tc>
      </w:tr>
      <w:tr>
        <w:tc>
          <w:tcPr>
            <w:tcW w:type="dxa" w:w="2304"/>
            <w:vAlign w:val="top"/>
          </w:tcPr>
          <w:p>
            <w:pPr>
              <w:jc w:val="left"/>
            </w:pPr>
            <w:r/>
            <w:r>
              <w:rPr>
                <w:b w:val="0"/>
                <w:sz w:val="16"/>
              </w:rPr>
              <w:t>First meal</w:t>
            </w:r>
          </w:p>
        </w:tc>
        <w:tc>
          <w:tcPr>
            <w:tcW w:type="dxa" w:w="2448"/>
            <w:vAlign w:val="top"/>
          </w:tcPr>
          <w:p>
            <w:pPr>
              <w:jc w:val="left"/>
            </w:pPr>
            <w:r/>
            <w:r>
              <w:rPr>
                <w:b w:val="0"/>
                <w:sz w:val="16"/>
              </w:rPr>
              <w:t>30-40 g protein + ~40 g clean carbs</w:t>
            </w:r>
          </w:p>
        </w:tc>
        <w:tc>
          <w:tcPr>
            <w:tcW w:type="dxa" w:w="6192"/>
            <w:vAlign w:val="top"/>
          </w:tcPr>
          <w:p>
            <w:pPr>
              <w:jc w:val="left"/>
            </w:pPr>
            <w:r/>
            <w:r>
              <w:rPr>
                <w:b w:val="0"/>
                <w:sz w:val="16"/>
              </w:rPr>
              <w:t>Anchor first meal to reduce under-eating risk and support training/recovery.</w:t>
            </w:r>
          </w:p>
        </w:tc>
      </w:tr>
      <w:tr>
        <w:tc>
          <w:tcPr>
            <w:tcW w:type="dxa" w:w="2304"/>
            <w:vAlign w:val="top"/>
          </w:tcPr>
          <w:p>
            <w:pPr>
              <w:jc w:val="left"/>
            </w:pPr>
            <w:r/>
            <w:r>
              <w:rPr>
                <w:b w:val="0"/>
                <w:sz w:val="16"/>
              </w:rPr>
              <w:t>L-carnitine</w:t>
            </w:r>
          </w:p>
        </w:tc>
        <w:tc>
          <w:tcPr>
            <w:tcW w:type="dxa" w:w="2448"/>
            <w:vAlign w:val="top"/>
          </w:tcPr>
          <w:p>
            <w:pPr>
              <w:jc w:val="left"/>
            </w:pPr>
            <w:r/>
            <w:r>
              <w:rPr>
                <w:b w:val="0"/>
                <w:sz w:val="16"/>
              </w:rPr>
              <w:t>3 g/day</w:t>
            </w:r>
          </w:p>
        </w:tc>
        <w:tc>
          <w:tcPr>
            <w:tcW w:type="dxa" w:w="6192"/>
            <w:vAlign w:val="top"/>
          </w:tcPr>
          <w:p>
            <w:pPr>
              <w:jc w:val="left"/>
            </w:pPr>
            <w:r/>
            <w:r>
              <w:rPr>
                <w:b w:val="0"/>
                <w:sz w:val="16"/>
              </w:rPr>
              <w:t>Supports fatty-acid transport into mitochondria. If TG/HDL worsens, provider may review increasing toward 4 g/day.</w:t>
            </w:r>
          </w:p>
        </w:tc>
      </w:tr>
      <w:tr>
        <w:tc>
          <w:tcPr>
            <w:tcW w:type="dxa" w:w="2304"/>
            <w:vAlign w:val="top"/>
          </w:tcPr>
          <w:p>
            <w:pPr>
              <w:jc w:val="left"/>
            </w:pPr>
            <w:r/>
            <w:r>
              <w:rPr>
                <w:b w:val="0"/>
                <w:sz w:val="16"/>
              </w:rPr>
              <w:t>Phosphatidylcholine</w:t>
            </w:r>
          </w:p>
        </w:tc>
        <w:tc>
          <w:tcPr>
            <w:tcW w:type="dxa" w:w="2448"/>
            <w:vAlign w:val="top"/>
          </w:tcPr>
          <w:p>
            <w:pPr>
              <w:jc w:val="left"/>
            </w:pPr>
            <w:r/>
            <w:r>
              <w:rPr>
                <w:b w:val="0"/>
                <w:sz w:val="16"/>
              </w:rPr>
              <w:t>3 g/day</w:t>
            </w:r>
          </w:p>
        </w:tc>
        <w:tc>
          <w:tcPr>
            <w:tcW w:type="dxa" w:w="6192"/>
            <w:vAlign w:val="top"/>
          </w:tcPr>
          <w:p>
            <w:pPr>
              <w:jc w:val="left"/>
            </w:pPr>
            <w:r/>
            <w:r>
              <w:rPr>
                <w:b w:val="0"/>
                <w:sz w:val="16"/>
              </w:rPr>
              <w:t>Supports membrane phospholipid status and hepatic lipid handling.</w:t>
            </w:r>
          </w:p>
        </w:tc>
      </w:tr>
      <w:tr>
        <w:tc>
          <w:tcPr>
            <w:tcW w:type="dxa" w:w="2304"/>
            <w:vAlign w:val="top"/>
          </w:tcPr>
          <w:p>
            <w:pPr>
              <w:jc w:val="left"/>
            </w:pPr>
            <w:r/>
            <w:r>
              <w:rPr>
                <w:b w:val="0"/>
                <w:sz w:val="16"/>
              </w:rPr>
              <w:t>Vitamin E</w:t>
            </w:r>
          </w:p>
        </w:tc>
        <w:tc>
          <w:tcPr>
            <w:tcW w:type="dxa" w:w="2448"/>
            <w:vAlign w:val="top"/>
          </w:tcPr>
          <w:p>
            <w:pPr>
              <w:jc w:val="left"/>
            </w:pPr>
            <w:r/>
            <w:r>
              <w:rPr>
                <w:b w:val="0"/>
                <w:sz w:val="16"/>
              </w:rPr>
              <w:t>400 IU/day</w:t>
            </w:r>
          </w:p>
        </w:tc>
        <w:tc>
          <w:tcPr>
            <w:tcW w:type="dxa" w:w="6192"/>
            <w:vAlign w:val="top"/>
          </w:tcPr>
          <w:p>
            <w:pPr>
              <w:jc w:val="left"/>
            </w:pPr>
            <w:r/>
            <w:r>
              <w:rPr>
                <w:b w:val="0"/>
                <w:sz w:val="16"/>
              </w:rPr>
              <w:t>Antioxidant support. Review bleeding risk, anticoagulants/antiplatelets, and total supplement load.</w:t>
            </w:r>
          </w:p>
        </w:tc>
      </w:tr>
      <w:tr>
        <w:tc>
          <w:tcPr>
            <w:tcW w:type="dxa" w:w="2304"/>
            <w:vAlign w:val="top"/>
          </w:tcPr>
          <w:p>
            <w:pPr>
              <w:jc w:val="left"/>
            </w:pPr>
            <w:r/>
            <w:r>
              <w:rPr>
                <w:b w:val="0"/>
                <w:sz w:val="16"/>
              </w:rPr>
              <w:t>Selenium</w:t>
            </w:r>
          </w:p>
        </w:tc>
        <w:tc>
          <w:tcPr>
            <w:tcW w:type="dxa" w:w="2448"/>
            <w:vAlign w:val="top"/>
          </w:tcPr>
          <w:p>
            <w:pPr>
              <w:jc w:val="left"/>
            </w:pPr>
            <w:r/>
            <w:r>
              <w:rPr>
                <w:b w:val="0"/>
                <w:sz w:val="16"/>
              </w:rPr>
              <w:t>200 mcg/day</w:t>
            </w:r>
          </w:p>
        </w:tc>
        <w:tc>
          <w:tcPr>
            <w:tcW w:type="dxa" w:w="6192"/>
            <w:vAlign w:val="top"/>
          </w:tcPr>
          <w:p>
            <w:pPr>
              <w:jc w:val="left"/>
            </w:pPr>
            <w:r/>
            <w:r>
              <w:rPr>
                <w:b w:val="0"/>
                <w:sz w:val="16"/>
              </w:rPr>
              <w:t>Antioxidant/thyroid-related cofactor. NIH adult upper limit is 400 mcg/day from all sources.</w:t>
            </w:r>
          </w:p>
        </w:tc>
      </w:tr>
      <w:tr>
        <w:tc>
          <w:tcPr>
            <w:tcW w:type="dxa" w:w="2304"/>
            <w:vAlign w:val="top"/>
          </w:tcPr>
          <w:p>
            <w:pPr>
              <w:jc w:val="left"/>
            </w:pPr>
            <w:r/>
            <w:r>
              <w:rPr>
                <w:b w:val="0"/>
                <w:sz w:val="16"/>
              </w:rPr>
              <w:t>TUDCA</w:t>
            </w:r>
          </w:p>
        </w:tc>
        <w:tc>
          <w:tcPr>
            <w:tcW w:type="dxa" w:w="2448"/>
            <w:vAlign w:val="top"/>
          </w:tcPr>
          <w:p>
            <w:pPr>
              <w:jc w:val="left"/>
            </w:pPr>
            <w:r/>
            <w:r>
              <w:rPr>
                <w:b w:val="0"/>
                <w:sz w:val="16"/>
              </w:rPr>
              <w:t>500 mg with each of two biggest meals; 1,000 mg/day total</w:t>
            </w:r>
          </w:p>
        </w:tc>
        <w:tc>
          <w:tcPr>
            <w:tcW w:type="dxa" w:w="6192"/>
            <w:vAlign w:val="top"/>
          </w:tcPr>
          <w:p>
            <w:pPr>
              <w:jc w:val="left"/>
            </w:pPr>
            <w:r/>
            <w:r>
              <w:rPr>
                <w:b w:val="0"/>
                <w:sz w:val="16"/>
              </w:rPr>
              <w:t>Bile-acid/liver support candidate during retatrutide. Frame as support, not guaranteed prevention of biliary sludge/cholestasis.</w:t>
            </w:r>
          </w:p>
        </w:tc>
      </w:tr>
      <w:tr>
        <w:tc>
          <w:tcPr>
            <w:tcW w:type="dxa" w:w="2304"/>
            <w:vAlign w:val="top"/>
          </w:tcPr>
          <w:p>
            <w:pPr>
              <w:jc w:val="left"/>
            </w:pPr>
            <w:r/>
            <w:r>
              <w:rPr>
                <w:b w:val="0"/>
                <w:sz w:val="16"/>
              </w:rPr>
              <w:t>NAC</w:t>
            </w:r>
          </w:p>
        </w:tc>
        <w:tc>
          <w:tcPr>
            <w:tcW w:type="dxa" w:w="2448"/>
            <w:vAlign w:val="top"/>
          </w:tcPr>
          <w:p>
            <w:pPr>
              <w:jc w:val="left"/>
            </w:pPr>
            <w:r/>
            <w:r>
              <w:rPr>
                <w:b w:val="0"/>
                <w:sz w:val="16"/>
              </w:rPr>
              <w:t>1,000 mg/day</w:t>
            </w:r>
          </w:p>
        </w:tc>
        <w:tc>
          <w:tcPr>
            <w:tcW w:type="dxa" w:w="6192"/>
            <w:vAlign w:val="top"/>
          </w:tcPr>
          <w:p>
            <w:pPr>
              <w:jc w:val="left"/>
            </w:pPr>
            <w:r/>
            <w:r>
              <w:rPr>
                <w:b w:val="0"/>
                <w:sz w:val="16"/>
              </w:rPr>
              <w:t>Glutathione precursor; supports oxidative-stress handling.</w:t>
            </w:r>
          </w:p>
        </w:tc>
      </w:tr>
      <w:tr>
        <w:tc>
          <w:tcPr>
            <w:tcW w:type="dxa" w:w="2304"/>
            <w:vAlign w:val="top"/>
          </w:tcPr>
          <w:p>
            <w:pPr>
              <w:jc w:val="left"/>
            </w:pPr>
            <w:r/>
            <w:r>
              <w:rPr>
                <w:b w:val="0"/>
                <w:sz w:val="16"/>
              </w:rPr>
              <w:t>Methyl B complex, B12, folate</w:t>
            </w:r>
          </w:p>
        </w:tc>
        <w:tc>
          <w:tcPr>
            <w:tcW w:type="dxa" w:w="2448"/>
            <w:vAlign w:val="top"/>
          </w:tcPr>
          <w:p>
            <w:pPr>
              <w:jc w:val="left"/>
            </w:pPr>
            <w:r/>
            <w:r>
              <w:rPr>
                <w:b w:val="0"/>
                <w:sz w:val="16"/>
              </w:rPr>
              <w:t>Per label/provider</w:t>
            </w:r>
          </w:p>
        </w:tc>
        <w:tc>
          <w:tcPr>
            <w:tcW w:type="dxa" w:w="6192"/>
            <w:vAlign w:val="top"/>
          </w:tcPr>
          <w:p>
            <w:pPr>
              <w:jc w:val="left"/>
            </w:pPr>
            <w:r/>
            <w:r>
              <w:rPr>
                <w:b w:val="0"/>
                <w:sz w:val="16"/>
              </w:rPr>
              <w:t>Methylation and liver-support context; avoid overcorrecting if labs are already high.</w:t>
            </w:r>
          </w:p>
        </w:tc>
      </w:tr>
      <w:tr>
        <w:tc>
          <w:tcPr>
            <w:tcW w:type="dxa" w:w="2304"/>
            <w:vAlign w:val="top"/>
          </w:tcPr>
          <w:p>
            <w:pPr>
              <w:jc w:val="left"/>
            </w:pPr>
            <w:r/>
            <w:r>
              <w:rPr>
                <w:b w:val="0"/>
                <w:sz w:val="16"/>
              </w:rPr>
              <w:t>Magnesium glycinate</w:t>
            </w:r>
          </w:p>
        </w:tc>
        <w:tc>
          <w:tcPr>
            <w:tcW w:type="dxa" w:w="2448"/>
            <w:vAlign w:val="top"/>
          </w:tcPr>
          <w:p>
            <w:pPr>
              <w:jc w:val="left"/>
            </w:pPr>
            <w:r/>
            <w:r>
              <w:rPr>
                <w:b w:val="0"/>
                <w:sz w:val="16"/>
              </w:rPr>
              <w:t>500 mg at night</w:t>
            </w:r>
          </w:p>
        </w:tc>
        <w:tc>
          <w:tcPr>
            <w:tcW w:type="dxa" w:w="6192"/>
            <w:vAlign w:val="top"/>
          </w:tcPr>
          <w:p>
            <w:pPr>
              <w:jc w:val="left"/>
            </w:pPr>
            <w:r/>
            <w:r>
              <w:rPr>
                <w:b w:val="0"/>
                <w:sz w:val="16"/>
              </w:rPr>
              <w:t>Cofactor support; may help sleep. Adjust for GI tolerance and kidney status.</w:t>
            </w:r>
          </w:p>
        </w:tc>
      </w:tr>
      <w:tr>
        <w:tc>
          <w:tcPr>
            <w:tcW w:type="dxa" w:w="2304"/>
            <w:vAlign w:val="top"/>
          </w:tcPr>
          <w:p>
            <w:pPr>
              <w:jc w:val="left"/>
            </w:pPr>
            <w:r/>
            <w:r>
              <w:rPr>
                <w:b w:val="0"/>
                <w:sz w:val="16"/>
              </w:rPr>
              <w:t>Zinc</w:t>
            </w:r>
          </w:p>
        </w:tc>
        <w:tc>
          <w:tcPr>
            <w:tcW w:type="dxa" w:w="2448"/>
            <w:vAlign w:val="top"/>
          </w:tcPr>
          <w:p>
            <w:pPr>
              <w:jc w:val="left"/>
            </w:pPr>
            <w:r/>
            <w:r>
              <w:rPr>
                <w:b w:val="0"/>
                <w:sz w:val="16"/>
              </w:rPr>
              <w:t>30 mg/day</w:t>
            </w:r>
          </w:p>
        </w:tc>
        <w:tc>
          <w:tcPr>
            <w:tcW w:type="dxa" w:w="6192"/>
            <w:vAlign w:val="top"/>
          </w:tcPr>
          <w:p>
            <w:pPr>
              <w:jc w:val="left"/>
            </w:pPr>
            <w:r/>
            <w:r>
              <w:rPr>
                <w:b w:val="0"/>
                <w:sz w:val="16"/>
              </w:rPr>
              <w:t>Immune and hepatic enzyme cofactor context. Consider copper balance if used long term.</w:t>
            </w:r>
          </w:p>
        </w:tc>
      </w:tr>
    </w:tbl>
    <w:p>
      <w:pPr>
        <w:pStyle w:val="Heading2"/>
      </w:pPr>
      <w:r>
        <w:t>Lipid Peroxidation, Plain-English Note</w:t>
      </w:r>
    </w:p>
    <w:p>
      <w:r>
        <w:t>Lipid peroxidation is a free-radical chain reaction where reactive molecules steal electrons from lipids in cell membranes. That can damage membrane structure, change membrane fluidity, generate toxic byproducts, and contribute to inflammatory and ferroptosis-related pathways. The support-stack goal is not to pretend oxidation can be eliminated. The practical goal is to reduce unnecessary oxidative burden while labs and symptoms are monitored.</w:t>
      </w:r>
    </w:p>
    <w:p>
      <w:pPr>
        <w:pStyle w:val="Heading2"/>
      </w:pPr>
      <w:r>
        <w:t>Alcohol Dehydrogenase Note</w:t>
      </w:r>
    </w:p>
    <w:p>
      <w:r>
        <w:t>Alcohol dehydrogenase is an enzyme group found primarily in the liver and stomach lining. It catalyzes the conversion of ethanol into acetaldehyde, the first major step in alcohol metabolism. Zinc is one relevant cofactor, but alcohol avoidance or strict minimization is the cleaner move during a complex metabolic protocol.</w:t>
      </w:r>
    </w:p>
    <w:p>
      <w:r>
        <w:br w:type="page"/>
      </w:r>
    </w:p>
    <w:p>
      <w:pPr>
        <w:pStyle w:val="Heading1"/>
      </w:pPr>
      <w:r>
        <w:t>6. Blood Work and Imaging Before Starting</w:t>
      </w:r>
    </w:p>
    <w:p>
      <w:r>
        <w:t>Baseline testing gives the protocol a scoreboard. The goal is to detect metabolic dysfunction, hepatic stress, biliary risk, nutrient issues, and cardiovascular risk before adding signal-heavy compounds.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504"/>
        <w:gridCol w:w="3504"/>
        <w:gridCol w:w="3504"/>
      </w:tblGrid>
      <w:tr>
        <w:tc>
          <w:tcPr>
            <w:tcW w:type="dxa" w:w="3456"/>
            <w:vAlign w:val="top"/>
            <w:shd w:fill="D9EAF7"/>
          </w:tcPr>
          <w:p>
            <w:pPr>
              <w:jc w:val="left"/>
            </w:pPr>
            <w:r/>
            <w:r>
              <w:rPr>
                <w:b/>
                <w:sz w:val="16"/>
              </w:rPr>
              <w:t>Baseline item</w:t>
            </w:r>
          </w:p>
        </w:tc>
        <w:tc>
          <w:tcPr>
            <w:tcW w:type="dxa" w:w="3456"/>
            <w:vAlign w:val="top"/>
            <w:shd w:fill="D9EAF7"/>
          </w:tcPr>
          <w:p>
            <w:pPr>
              <w:jc w:val="left"/>
            </w:pPr>
            <w:r/>
            <w:r>
              <w:rPr>
                <w:b/>
                <w:sz w:val="16"/>
              </w:rPr>
              <w:t>Baseline item</w:t>
            </w:r>
          </w:p>
        </w:tc>
        <w:tc>
          <w:tcPr>
            <w:tcW w:type="dxa" w:w="3456"/>
            <w:vAlign w:val="top"/>
            <w:shd w:fill="D9EAF7"/>
          </w:tcPr>
          <w:p>
            <w:pPr>
              <w:jc w:val="left"/>
            </w:pPr>
            <w:r/>
            <w:r>
              <w:rPr>
                <w:b/>
                <w:sz w:val="16"/>
              </w:rPr>
              <w:t>Baseline item</w:t>
            </w:r>
          </w:p>
        </w:tc>
      </w:tr>
      <w:tr>
        <w:tc>
          <w:tcPr>
            <w:tcW w:type="dxa" w:w="3456"/>
            <w:vAlign w:val="top"/>
          </w:tcPr>
          <w:p>
            <w:pPr>
              <w:jc w:val="left"/>
            </w:pPr>
            <w:r/>
            <w:r>
              <w:rPr>
                <w:b w:val="0"/>
                <w:sz w:val="16"/>
              </w:rPr>
              <w:t>Fasting insulin</w:t>
            </w:r>
          </w:p>
        </w:tc>
        <w:tc>
          <w:tcPr>
            <w:tcW w:type="dxa" w:w="3456"/>
            <w:vAlign w:val="top"/>
          </w:tcPr>
          <w:p>
            <w:pPr>
              <w:jc w:val="left"/>
            </w:pPr>
            <w:r/>
            <w:r>
              <w:rPr>
                <w:b w:val="0"/>
                <w:sz w:val="16"/>
              </w:rPr>
              <w:t>Fasting glucose</w:t>
            </w:r>
          </w:p>
        </w:tc>
        <w:tc>
          <w:tcPr>
            <w:tcW w:type="dxa" w:w="3456"/>
            <w:vAlign w:val="top"/>
          </w:tcPr>
          <w:p>
            <w:pPr>
              <w:jc w:val="left"/>
            </w:pPr>
            <w:r/>
            <w:r>
              <w:rPr>
                <w:b w:val="0"/>
                <w:sz w:val="16"/>
              </w:rPr>
              <w:t>HOMA-IR</w:t>
            </w:r>
          </w:p>
        </w:tc>
      </w:tr>
      <w:tr>
        <w:tc>
          <w:tcPr>
            <w:tcW w:type="dxa" w:w="3456"/>
            <w:vAlign w:val="top"/>
          </w:tcPr>
          <w:p>
            <w:pPr>
              <w:jc w:val="left"/>
            </w:pPr>
            <w:r/>
            <w:r>
              <w:rPr>
                <w:b w:val="0"/>
                <w:sz w:val="16"/>
              </w:rPr>
              <w:t>ALT</w:t>
            </w:r>
          </w:p>
        </w:tc>
        <w:tc>
          <w:tcPr>
            <w:tcW w:type="dxa" w:w="3456"/>
            <w:vAlign w:val="top"/>
          </w:tcPr>
          <w:p>
            <w:pPr>
              <w:jc w:val="left"/>
            </w:pPr>
            <w:r/>
            <w:r>
              <w:rPr>
                <w:b w:val="0"/>
                <w:sz w:val="16"/>
              </w:rPr>
              <w:t>AST</w:t>
            </w:r>
          </w:p>
        </w:tc>
        <w:tc>
          <w:tcPr>
            <w:tcW w:type="dxa" w:w="3456"/>
            <w:vAlign w:val="top"/>
          </w:tcPr>
          <w:p>
            <w:pPr>
              <w:jc w:val="left"/>
            </w:pPr>
            <w:r/>
            <w:r>
              <w:rPr>
                <w:b w:val="0"/>
                <w:sz w:val="16"/>
              </w:rPr>
              <w:t>ALP</w:t>
            </w:r>
          </w:p>
        </w:tc>
      </w:tr>
      <w:tr>
        <w:tc>
          <w:tcPr>
            <w:tcW w:type="dxa" w:w="3456"/>
            <w:vAlign w:val="top"/>
          </w:tcPr>
          <w:p>
            <w:pPr>
              <w:jc w:val="left"/>
            </w:pPr>
            <w:r/>
            <w:r>
              <w:rPr>
                <w:b w:val="0"/>
                <w:sz w:val="16"/>
              </w:rPr>
              <w:t>GGT</w:t>
            </w:r>
          </w:p>
        </w:tc>
        <w:tc>
          <w:tcPr>
            <w:tcW w:type="dxa" w:w="3456"/>
            <w:vAlign w:val="top"/>
          </w:tcPr>
          <w:p>
            <w:pPr>
              <w:jc w:val="left"/>
            </w:pPr>
            <w:r/>
            <w:r>
              <w:rPr>
                <w:b w:val="0"/>
                <w:sz w:val="16"/>
              </w:rPr>
              <w:t>Total bilirubin</w:t>
            </w:r>
          </w:p>
        </w:tc>
        <w:tc>
          <w:tcPr>
            <w:tcW w:type="dxa" w:w="3456"/>
            <w:vAlign w:val="top"/>
          </w:tcPr>
          <w:p>
            <w:pPr>
              <w:jc w:val="left"/>
            </w:pPr>
            <w:r/>
            <w:r>
              <w:rPr>
                <w:b w:val="0"/>
                <w:sz w:val="16"/>
              </w:rPr>
              <w:t>Direct bilirubin</w:t>
            </w:r>
          </w:p>
        </w:tc>
      </w:tr>
      <w:tr>
        <w:tc>
          <w:tcPr>
            <w:tcW w:type="dxa" w:w="3456"/>
            <w:vAlign w:val="top"/>
          </w:tcPr>
          <w:p>
            <w:pPr>
              <w:jc w:val="left"/>
            </w:pPr>
            <w:r/>
            <w:r>
              <w:rPr>
                <w:b w:val="0"/>
                <w:sz w:val="16"/>
              </w:rPr>
              <w:t>Albumin</w:t>
            </w:r>
          </w:p>
        </w:tc>
        <w:tc>
          <w:tcPr>
            <w:tcW w:type="dxa" w:w="3456"/>
            <w:vAlign w:val="top"/>
          </w:tcPr>
          <w:p>
            <w:pPr>
              <w:jc w:val="left"/>
            </w:pPr>
            <w:r/>
            <w:r>
              <w:rPr>
                <w:b w:val="0"/>
                <w:sz w:val="16"/>
              </w:rPr>
              <w:t>Total protein</w:t>
            </w:r>
          </w:p>
        </w:tc>
        <w:tc>
          <w:tcPr>
            <w:tcW w:type="dxa" w:w="3456"/>
            <w:vAlign w:val="top"/>
          </w:tcPr>
          <w:p>
            <w:pPr>
              <w:jc w:val="left"/>
            </w:pPr>
            <w:r/>
            <w:r>
              <w:rPr>
                <w:b w:val="0"/>
                <w:sz w:val="16"/>
              </w:rPr>
              <w:t>Triglycerides</w:t>
            </w:r>
          </w:p>
        </w:tc>
      </w:tr>
      <w:tr>
        <w:tc>
          <w:tcPr>
            <w:tcW w:type="dxa" w:w="3456"/>
            <w:vAlign w:val="top"/>
          </w:tcPr>
          <w:p>
            <w:pPr>
              <w:jc w:val="left"/>
            </w:pPr>
            <w:r/>
            <w:r>
              <w:rPr>
                <w:b w:val="0"/>
                <w:sz w:val="16"/>
              </w:rPr>
              <w:t>HDL</w:t>
            </w:r>
          </w:p>
        </w:tc>
        <w:tc>
          <w:tcPr>
            <w:tcW w:type="dxa" w:w="3456"/>
            <w:vAlign w:val="top"/>
          </w:tcPr>
          <w:p>
            <w:pPr>
              <w:jc w:val="left"/>
            </w:pPr>
            <w:r/>
            <w:r>
              <w:rPr>
                <w:b w:val="0"/>
                <w:sz w:val="16"/>
              </w:rPr>
              <w:t>LDL</w:t>
            </w:r>
          </w:p>
        </w:tc>
        <w:tc>
          <w:tcPr>
            <w:tcW w:type="dxa" w:w="3456"/>
            <w:vAlign w:val="top"/>
          </w:tcPr>
          <w:p>
            <w:pPr>
              <w:jc w:val="left"/>
            </w:pPr>
            <w:r/>
            <w:r>
              <w:rPr>
                <w:b w:val="0"/>
                <w:sz w:val="16"/>
              </w:rPr>
              <w:t>Ferritin</w:t>
            </w:r>
          </w:p>
        </w:tc>
      </w:tr>
      <w:tr>
        <w:tc>
          <w:tcPr>
            <w:tcW w:type="dxa" w:w="3456"/>
            <w:vAlign w:val="top"/>
          </w:tcPr>
          <w:p>
            <w:pPr>
              <w:jc w:val="left"/>
            </w:pPr>
            <w:r/>
            <w:r>
              <w:rPr>
                <w:b w:val="0"/>
                <w:sz w:val="16"/>
              </w:rPr>
              <w:t>Complete metabolic panel</w:t>
            </w:r>
          </w:p>
        </w:tc>
        <w:tc>
          <w:tcPr>
            <w:tcW w:type="dxa" w:w="3456"/>
            <w:vAlign w:val="top"/>
          </w:tcPr>
          <w:p>
            <w:pPr>
              <w:jc w:val="left"/>
            </w:pPr>
            <w:r/>
            <w:r>
              <w:rPr>
                <w:b w:val="0"/>
                <w:sz w:val="16"/>
              </w:rPr>
              <w:t>Lipid panel</w:t>
            </w:r>
          </w:p>
        </w:tc>
        <w:tc>
          <w:tcPr>
            <w:tcW w:type="dxa" w:w="3456"/>
            <w:vAlign w:val="top"/>
          </w:tcPr>
          <w:p>
            <w:pPr>
              <w:jc w:val="left"/>
            </w:pPr>
            <w:r/>
            <w:r>
              <w:rPr>
                <w:b w:val="0"/>
                <w:sz w:val="16"/>
              </w:rPr>
              <w:t>HbA1c</w:t>
            </w:r>
          </w:p>
        </w:tc>
      </w:tr>
      <w:tr>
        <w:tc>
          <w:tcPr>
            <w:tcW w:type="dxa" w:w="3456"/>
            <w:vAlign w:val="top"/>
          </w:tcPr>
          <w:p>
            <w:pPr>
              <w:jc w:val="left"/>
            </w:pPr>
            <w:r/>
            <w:r>
              <w:rPr>
                <w:b w:val="0"/>
                <w:sz w:val="16"/>
              </w:rPr>
              <w:t>Vitamin D</w:t>
            </w:r>
          </w:p>
        </w:tc>
        <w:tc>
          <w:tcPr>
            <w:tcW w:type="dxa" w:w="3456"/>
            <w:vAlign w:val="top"/>
          </w:tcPr>
          <w:p>
            <w:pPr>
              <w:jc w:val="left"/>
            </w:pPr>
            <w:r/>
            <w:r>
              <w:rPr>
                <w:b w:val="0"/>
                <w:sz w:val="16"/>
              </w:rPr>
              <w:t>B12</w:t>
            </w:r>
          </w:p>
        </w:tc>
        <w:tc>
          <w:tcPr>
            <w:tcW w:type="dxa" w:w="3456"/>
            <w:vAlign w:val="top"/>
          </w:tcPr>
          <w:p>
            <w:pPr>
              <w:jc w:val="left"/>
            </w:pPr>
            <w:r/>
            <w:r>
              <w:rPr>
                <w:b w:val="0"/>
                <w:sz w:val="16"/>
              </w:rPr>
              <w:t>Folate</w:t>
            </w:r>
          </w:p>
        </w:tc>
      </w:tr>
      <w:tr>
        <w:tc>
          <w:tcPr>
            <w:tcW w:type="dxa" w:w="3456"/>
            <w:vAlign w:val="top"/>
          </w:tcPr>
          <w:p>
            <w:pPr>
              <w:jc w:val="left"/>
            </w:pPr>
            <w:r/>
            <w:r>
              <w:rPr>
                <w:b w:val="0"/>
                <w:sz w:val="16"/>
              </w:rPr>
              <w:t>Selenium</w:t>
            </w:r>
          </w:p>
        </w:tc>
        <w:tc>
          <w:tcPr>
            <w:tcW w:type="dxa" w:w="3456"/>
            <w:vAlign w:val="top"/>
          </w:tcPr>
          <w:p>
            <w:pPr>
              <w:jc w:val="left"/>
            </w:pPr>
            <w:r/>
            <w:r>
              <w:rPr>
                <w:b w:val="0"/>
                <w:sz w:val="16"/>
              </w:rPr>
              <w:t>Liver ultrasound with elastography for baseline hepatic steatosis and fibrosis</w:t>
            </w:r>
          </w:p>
        </w:tc>
        <w:tc>
          <w:tcPr>
            <w:tcW w:type="dxa" w:w="3456"/>
            <w:vAlign w:val="top"/>
          </w:tcPr>
          <w:p>
            <w:pPr>
              <w:jc w:val="left"/>
            </w:pPr>
            <w:r/>
            <w:r>
              <w:rPr>
                <w:b w:val="0"/>
                <w:sz w:val="16"/>
              </w:rPr>
            </w:r>
          </w:p>
        </w:tc>
      </w:tr>
    </w:tbl>
    <w:p>
      <w:pPr>
        <w:pStyle w:val="Heading2"/>
      </w:pPr>
      <w:r>
        <w:t>Repeat Labs Every 5-6 Weeks During Retatrutide Escalation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256"/>
        <w:gridCol w:w="5256"/>
      </w:tblGrid>
      <w:tr>
        <w:tc>
          <w:tcPr>
            <w:tcW w:type="dxa" w:w="5184"/>
            <w:vAlign w:val="top"/>
            <w:shd w:fill="D9EAF7"/>
          </w:tcPr>
          <w:p>
            <w:pPr>
              <w:jc w:val="left"/>
            </w:pPr>
            <w:r/>
            <w:r>
              <w:rPr>
                <w:b/>
                <w:sz w:val="16"/>
              </w:rPr>
              <w:t>Repeat lab</w:t>
            </w:r>
          </w:p>
        </w:tc>
        <w:tc>
          <w:tcPr>
            <w:tcW w:type="dxa" w:w="5184"/>
            <w:vAlign w:val="top"/>
            <w:shd w:fill="D9EAF7"/>
          </w:tcPr>
          <w:p>
            <w:pPr>
              <w:jc w:val="left"/>
            </w:pPr>
            <w:r/>
            <w:r>
              <w:rPr>
                <w:b/>
                <w:sz w:val="16"/>
              </w:rPr>
              <w:t>Repeat lab</w:t>
            </w:r>
          </w:p>
        </w:tc>
      </w:tr>
      <w:tr>
        <w:tc>
          <w:tcPr>
            <w:tcW w:type="dxa" w:w="5184"/>
            <w:vAlign w:val="top"/>
          </w:tcPr>
          <w:p>
            <w:pPr>
              <w:jc w:val="left"/>
            </w:pPr>
            <w:r/>
            <w:r>
              <w:rPr>
                <w:b w:val="0"/>
                <w:sz w:val="16"/>
              </w:rPr>
              <w:t>Fasting insulin</w:t>
            </w:r>
          </w:p>
        </w:tc>
        <w:tc>
          <w:tcPr>
            <w:tcW w:type="dxa" w:w="5184"/>
            <w:vAlign w:val="top"/>
          </w:tcPr>
          <w:p>
            <w:pPr>
              <w:jc w:val="left"/>
            </w:pPr>
            <w:r/>
            <w:r>
              <w:rPr>
                <w:b w:val="0"/>
                <w:sz w:val="16"/>
              </w:rPr>
              <w:t>GGT</w:t>
            </w:r>
          </w:p>
        </w:tc>
      </w:tr>
      <w:tr>
        <w:tc>
          <w:tcPr>
            <w:tcW w:type="dxa" w:w="5184"/>
            <w:vAlign w:val="top"/>
          </w:tcPr>
          <w:p>
            <w:pPr>
              <w:jc w:val="left"/>
            </w:pPr>
            <w:r/>
            <w:r>
              <w:rPr>
                <w:b w:val="0"/>
                <w:sz w:val="16"/>
              </w:rPr>
              <w:t>ALT</w:t>
            </w:r>
          </w:p>
        </w:tc>
        <w:tc>
          <w:tcPr>
            <w:tcW w:type="dxa" w:w="5184"/>
            <w:vAlign w:val="top"/>
          </w:tcPr>
          <w:p>
            <w:pPr>
              <w:jc w:val="left"/>
            </w:pPr>
            <w:r/>
            <w:r>
              <w:rPr>
                <w:b w:val="0"/>
                <w:sz w:val="16"/>
              </w:rPr>
              <w:t>AST</w:t>
            </w:r>
          </w:p>
        </w:tc>
      </w:tr>
      <w:tr>
        <w:tc>
          <w:tcPr>
            <w:tcW w:type="dxa" w:w="5184"/>
            <w:vAlign w:val="top"/>
          </w:tcPr>
          <w:p>
            <w:pPr>
              <w:jc w:val="left"/>
            </w:pPr>
            <w:r/>
            <w:r>
              <w:rPr>
                <w:b w:val="0"/>
                <w:sz w:val="16"/>
              </w:rPr>
              <w:t>Triglycerides</w:t>
            </w:r>
          </w:p>
        </w:tc>
        <w:tc>
          <w:tcPr>
            <w:tcW w:type="dxa" w:w="5184"/>
            <w:vAlign w:val="top"/>
          </w:tcPr>
          <w:p>
            <w:pPr>
              <w:jc w:val="left"/>
            </w:pPr>
            <w:r/>
            <w:r>
              <w:rPr>
                <w:b w:val="0"/>
                <w:sz w:val="16"/>
              </w:rPr>
              <w:t>HDL</w:t>
            </w:r>
          </w:p>
        </w:tc>
      </w:tr>
      <w:tr>
        <w:tc>
          <w:tcPr>
            <w:tcW w:type="dxa" w:w="5184"/>
            <w:vAlign w:val="top"/>
          </w:tcPr>
          <w:p>
            <w:pPr>
              <w:jc w:val="left"/>
            </w:pPr>
            <w:r/>
            <w:r>
              <w:rPr>
                <w:b w:val="0"/>
                <w:sz w:val="16"/>
              </w:rPr>
              <w:t>Triglyceride/HDL ratio</w:t>
            </w:r>
          </w:p>
        </w:tc>
        <w:tc>
          <w:tcPr>
            <w:tcW w:type="dxa" w:w="5184"/>
            <w:vAlign w:val="top"/>
          </w:tcPr>
          <w:p>
            <w:pPr>
              <w:jc w:val="left"/>
            </w:pPr>
            <w:r/>
            <w:r>
              <w:rPr>
                <w:b w:val="0"/>
                <w:sz w:val="16"/>
              </w:rPr>
            </w:r>
          </w:p>
        </w:tc>
      </w:tr>
    </w:tbl>
    <w:p>
      <w:r>
        <w:br w:type="page"/>
      </w:r>
    </w:p>
    <w:p>
      <w:pPr>
        <w:pStyle w:val="Heading1"/>
      </w:pPr>
      <w:r>
        <w:t>7. Provider-Review Adjustment Triggers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256"/>
        <w:gridCol w:w="5256"/>
      </w:tblGrid>
      <w:tr>
        <w:tc>
          <w:tcPr>
            <w:tcW w:type="dxa" w:w="3168"/>
            <w:vAlign w:val="top"/>
            <w:shd w:fill="D9EAF7"/>
          </w:tcPr>
          <w:p>
            <w:pPr>
              <w:jc w:val="left"/>
            </w:pPr>
            <w:r/>
            <w:r>
              <w:rPr>
                <w:b/>
                <w:sz w:val="16"/>
              </w:rPr>
              <w:t>Signal</w:t>
            </w:r>
          </w:p>
        </w:tc>
        <w:tc>
          <w:tcPr>
            <w:tcW w:type="dxa" w:w="7200"/>
            <w:vAlign w:val="top"/>
            <w:shd w:fill="D9EAF7"/>
          </w:tcPr>
          <w:p>
            <w:pPr>
              <w:jc w:val="left"/>
            </w:pPr>
            <w:r/>
            <w:r>
              <w:rPr>
                <w:b/>
                <w:sz w:val="16"/>
              </w:rPr>
              <w:t>Review action</w:t>
            </w:r>
          </w:p>
        </w:tc>
      </w:tr>
      <w:tr>
        <w:tc>
          <w:tcPr>
            <w:tcW w:type="dxa" w:w="3168"/>
            <w:vAlign w:val="top"/>
          </w:tcPr>
          <w:p>
            <w:pPr>
              <w:jc w:val="left"/>
            </w:pPr>
            <w:r/>
            <w:r>
              <w:rPr>
                <w:b w:val="0"/>
                <w:sz w:val="16"/>
              </w:rPr>
              <w:t>GGT rising or persistently elevated</w:t>
            </w:r>
          </w:p>
        </w:tc>
        <w:tc>
          <w:tcPr>
            <w:tcW w:type="dxa" w:w="7200"/>
            <w:vAlign w:val="top"/>
          </w:tcPr>
          <w:p>
            <w:pPr>
              <w:jc w:val="left"/>
            </w:pPr>
            <w:r/>
            <w:r>
              <w:rPr>
                <w:b w:val="0"/>
                <w:sz w:val="16"/>
              </w:rPr>
              <w:t>Provider review. Consider whether retatrutide escalation is too aggressive for current hepatic/biliary processing capacity.</w:t>
            </w:r>
          </w:p>
        </w:tc>
      </w:tr>
      <w:tr>
        <w:tc>
          <w:tcPr>
            <w:tcW w:type="dxa" w:w="3168"/>
            <w:vAlign w:val="top"/>
          </w:tcPr>
          <w:p>
            <w:pPr>
              <w:jc w:val="left"/>
            </w:pPr>
            <w:r/>
            <w:r>
              <w:rPr>
                <w:b w:val="0"/>
                <w:sz w:val="16"/>
              </w:rPr>
              <w:t>ALT/AST rising</w:t>
            </w:r>
          </w:p>
        </w:tc>
        <w:tc>
          <w:tcPr>
            <w:tcW w:type="dxa" w:w="7200"/>
            <w:vAlign w:val="top"/>
          </w:tcPr>
          <w:p>
            <w:pPr>
              <w:jc w:val="left"/>
            </w:pPr>
            <w:r/>
            <w:r>
              <w:rPr>
                <w:b w:val="0"/>
                <w:sz w:val="16"/>
              </w:rPr>
              <w:t>Provider review for hepatic stress, training-related confounders, alcohol, medications, supplements, and retatrutide timing.</w:t>
            </w:r>
          </w:p>
        </w:tc>
      </w:tr>
      <w:tr>
        <w:tc>
          <w:tcPr>
            <w:tcW w:type="dxa" w:w="3168"/>
            <w:vAlign w:val="top"/>
          </w:tcPr>
          <w:p>
            <w:pPr>
              <w:jc w:val="left"/>
            </w:pPr>
            <w:r/>
            <w:r>
              <w:rPr>
                <w:b w:val="0"/>
                <w:sz w:val="16"/>
              </w:rPr>
              <w:t>Triglyceride/HDL ratio worsening</w:t>
            </w:r>
          </w:p>
        </w:tc>
        <w:tc>
          <w:tcPr>
            <w:tcW w:type="dxa" w:w="7200"/>
            <w:vAlign w:val="top"/>
          </w:tcPr>
          <w:p>
            <w:pPr>
              <w:jc w:val="left"/>
            </w:pPr>
            <w:r/>
            <w:r>
              <w:rPr>
                <w:b w:val="0"/>
                <w:sz w:val="16"/>
              </w:rPr>
              <w:t>Provider review of hepatic lipid export, protein intake, carbohydrate quality, L-carnitine plan, and retatrutide dose pace.</w:t>
            </w:r>
          </w:p>
        </w:tc>
      </w:tr>
      <w:tr>
        <w:tc>
          <w:tcPr>
            <w:tcW w:type="dxa" w:w="3168"/>
            <w:vAlign w:val="top"/>
          </w:tcPr>
          <w:p>
            <w:pPr>
              <w:jc w:val="left"/>
            </w:pPr>
            <w:r/>
            <w:r>
              <w:rPr>
                <w:b w:val="0"/>
                <w:sz w:val="16"/>
              </w:rPr>
              <w:t>Persistent nausea, reflux, constipation, abdominal pain, or dehydration</w:t>
            </w:r>
          </w:p>
        </w:tc>
        <w:tc>
          <w:tcPr>
            <w:tcW w:type="dxa" w:w="7200"/>
            <w:vAlign w:val="top"/>
          </w:tcPr>
          <w:p>
            <w:pPr>
              <w:jc w:val="left"/>
            </w:pPr>
            <w:r/>
            <w:r>
              <w:rPr>
                <w:b w:val="0"/>
                <w:sz w:val="16"/>
              </w:rPr>
              <w:t>Do not escalate retatrutide. Review dose, timing, hydration, fiber, electrolytes, gallbladder/pancreas warning signs, and provider guidance.</w:t>
            </w:r>
          </w:p>
        </w:tc>
      </w:tr>
      <w:tr>
        <w:tc>
          <w:tcPr>
            <w:tcW w:type="dxa" w:w="3168"/>
            <w:vAlign w:val="top"/>
          </w:tcPr>
          <w:p>
            <w:pPr>
              <w:jc w:val="left"/>
            </w:pPr>
            <w:r/>
            <w:r>
              <w:rPr>
                <w:b w:val="0"/>
                <w:sz w:val="16"/>
              </w:rPr>
              <w:t>Resting HR trend rising after retatrutide</w:t>
            </w:r>
          </w:p>
        </w:tc>
        <w:tc>
          <w:tcPr>
            <w:tcW w:type="dxa" w:w="7200"/>
            <w:vAlign w:val="top"/>
          </w:tcPr>
          <w:p>
            <w:pPr>
              <w:jc w:val="left"/>
            </w:pPr>
            <w:r/>
            <w:r>
              <w:rPr>
                <w:b w:val="0"/>
                <w:sz w:val="16"/>
              </w:rPr>
              <w:t>Hold escalation and review with provider. Phase 2 data reported dose-dependent HR increases.</w:t>
            </w:r>
          </w:p>
        </w:tc>
      </w:tr>
      <w:tr>
        <w:tc>
          <w:tcPr>
            <w:tcW w:type="dxa" w:w="3168"/>
            <w:vAlign w:val="top"/>
          </w:tcPr>
          <w:p>
            <w:pPr>
              <w:jc w:val="left"/>
            </w:pPr>
            <w:r/>
            <w:r>
              <w:rPr>
                <w:b w:val="0"/>
                <w:sz w:val="16"/>
              </w:rPr>
              <w:t>Sleep, anxiety, mood, or cognition worsens</w:t>
            </w:r>
          </w:p>
        </w:tc>
        <w:tc>
          <w:tcPr>
            <w:tcW w:type="dxa" w:w="7200"/>
            <w:vAlign w:val="top"/>
          </w:tcPr>
          <w:p>
            <w:pPr>
              <w:jc w:val="left"/>
            </w:pPr>
            <w:r/>
            <w:r>
              <w:rPr>
                <w:b w:val="0"/>
                <w:sz w:val="16"/>
              </w:rPr>
              <w:t>Do not add cognitive peptides or Epitalon until stable. Remove the most recent variable first if needed.</w:t>
            </w:r>
          </w:p>
        </w:tc>
      </w:tr>
    </w:tbl>
    <w:p>
      <w:r>
        <w:br w:type="page"/>
      </w:r>
    </w:p>
    <w:p>
      <w:pPr>
        <w:pStyle w:val="Heading1"/>
      </w:pPr>
      <w:r>
        <w:t>8. Daily and Weekly Tracking Templates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314"/>
        <w:gridCol w:w="1314"/>
        <w:gridCol w:w="1314"/>
        <w:gridCol w:w="1314"/>
        <w:gridCol w:w="1314"/>
        <w:gridCol w:w="1314"/>
        <w:gridCol w:w="1314"/>
        <w:gridCol w:w="1314"/>
      </w:tblGrid>
      <w:tr>
        <w:tc>
          <w:tcPr>
            <w:tcW w:type="dxa" w:w="1080"/>
            <w:vAlign w:val="top"/>
            <w:shd w:fill="D9EAF7"/>
          </w:tcPr>
          <w:p>
            <w:pPr>
              <w:jc w:val="left"/>
            </w:pPr>
            <w:r/>
            <w:r>
              <w:rPr>
                <w:b/>
                <w:sz w:val="15"/>
              </w:rPr>
              <w:t>Date</w:t>
            </w:r>
          </w:p>
        </w:tc>
        <w:tc>
          <w:tcPr>
            <w:tcW w:type="dxa" w:w="1800"/>
            <w:vAlign w:val="top"/>
            <w:shd w:fill="D9EAF7"/>
          </w:tcPr>
          <w:p>
            <w:pPr>
              <w:jc w:val="left"/>
            </w:pPr>
            <w:r/>
            <w:r>
              <w:rPr>
                <w:b/>
                <w:sz w:val="15"/>
              </w:rPr>
              <w:t>Doses taken</w:t>
            </w:r>
          </w:p>
        </w:tc>
        <w:tc>
          <w:tcPr>
            <w:tcW w:type="dxa" w:w="1224"/>
            <w:vAlign w:val="top"/>
            <w:shd w:fill="D9EAF7"/>
          </w:tcPr>
          <w:p>
            <w:pPr>
              <w:jc w:val="left"/>
            </w:pPr>
            <w:r/>
            <w:r>
              <w:rPr>
                <w:b/>
                <w:sz w:val="15"/>
              </w:rPr>
              <w:t>Energy AM/PM</w:t>
            </w:r>
          </w:p>
        </w:tc>
        <w:tc>
          <w:tcPr>
            <w:tcW w:type="dxa" w:w="1224"/>
            <w:vAlign w:val="top"/>
            <w:shd w:fill="D9EAF7"/>
          </w:tcPr>
          <w:p>
            <w:pPr>
              <w:jc w:val="left"/>
            </w:pPr>
            <w:r/>
            <w:r>
              <w:rPr>
                <w:b/>
                <w:sz w:val="15"/>
              </w:rPr>
              <w:t>Sleep</w:t>
            </w:r>
          </w:p>
        </w:tc>
        <w:tc>
          <w:tcPr>
            <w:tcW w:type="dxa" w:w="1368"/>
            <w:vAlign w:val="top"/>
            <w:shd w:fill="D9EAF7"/>
          </w:tcPr>
          <w:p>
            <w:pPr>
              <w:jc w:val="left"/>
            </w:pPr>
            <w:r/>
            <w:r>
              <w:rPr>
                <w:b/>
                <w:sz w:val="15"/>
              </w:rPr>
              <w:t>Mood/focus</w:t>
            </w:r>
          </w:p>
        </w:tc>
        <w:tc>
          <w:tcPr>
            <w:tcW w:type="dxa" w:w="1368"/>
            <w:vAlign w:val="top"/>
            <w:shd w:fill="D9EAF7"/>
          </w:tcPr>
          <w:p>
            <w:pPr>
              <w:jc w:val="left"/>
            </w:pPr>
            <w:r/>
            <w:r>
              <w:rPr>
                <w:b/>
                <w:sz w:val="15"/>
              </w:rPr>
              <w:t>GI/appetite</w:t>
            </w:r>
          </w:p>
        </w:tc>
        <w:tc>
          <w:tcPr>
            <w:tcW w:type="dxa" w:w="1152"/>
            <w:vAlign w:val="top"/>
            <w:shd w:fill="D9EAF7"/>
          </w:tcPr>
          <w:p>
            <w:pPr>
              <w:jc w:val="left"/>
            </w:pPr>
            <w:r/>
            <w:r>
              <w:rPr>
                <w:b/>
                <w:sz w:val="15"/>
              </w:rPr>
              <w:t>HR/weight</w:t>
            </w:r>
          </w:p>
        </w:tc>
        <w:tc>
          <w:tcPr>
            <w:tcW w:type="dxa" w:w="1728"/>
            <w:vAlign w:val="top"/>
            <w:shd w:fill="D9EAF7"/>
          </w:tcPr>
          <w:p>
            <w:pPr>
              <w:jc w:val="left"/>
            </w:pPr>
            <w:r/>
            <w:r>
              <w:rPr>
                <w:b/>
                <w:sz w:val="15"/>
              </w:rPr>
              <w:t>Notes</w:t>
            </w:r>
          </w:p>
        </w:tc>
      </w:tr>
      <w:tr>
        <w:tc>
          <w:tcPr>
            <w:tcW w:type="dxa" w:w="1080"/>
            <w:vAlign w:val="top"/>
          </w:tcPr>
          <w:p>
            <w:pPr>
              <w:jc w:val="left"/>
            </w:pPr>
            <w:r/>
            <w:r>
              <w:rPr>
                <w:b w:val="0"/>
                <w:sz w:val="15"/>
              </w:rPr>
            </w:r>
          </w:p>
        </w:tc>
        <w:tc>
          <w:tcPr>
            <w:tcW w:type="dxa" w:w="1800"/>
            <w:vAlign w:val="top"/>
          </w:tcPr>
          <w:p>
            <w:pPr>
              <w:jc w:val="left"/>
            </w:pPr>
            <w:r/>
            <w:r>
              <w:rPr>
                <w:b w:val="0"/>
                <w:sz w:val="15"/>
              </w:rPr>
            </w:r>
          </w:p>
        </w:tc>
        <w:tc>
          <w:tcPr>
            <w:tcW w:type="dxa" w:w="1224"/>
            <w:vAlign w:val="top"/>
          </w:tcPr>
          <w:p>
            <w:pPr>
              <w:jc w:val="left"/>
            </w:pPr>
            <w:r/>
            <w:r>
              <w:rPr>
                <w:b w:val="0"/>
                <w:sz w:val="15"/>
              </w:rPr>
            </w:r>
          </w:p>
        </w:tc>
        <w:tc>
          <w:tcPr>
            <w:tcW w:type="dxa" w:w="1224"/>
            <w:vAlign w:val="top"/>
          </w:tcPr>
          <w:p>
            <w:pPr>
              <w:jc w:val="left"/>
            </w:pPr>
            <w:r/>
            <w:r>
              <w:rPr>
                <w:b w:val="0"/>
                <w:sz w:val="15"/>
              </w:rPr>
            </w:r>
          </w:p>
        </w:tc>
        <w:tc>
          <w:tcPr>
            <w:tcW w:type="dxa" w:w="1368"/>
            <w:vAlign w:val="top"/>
          </w:tcPr>
          <w:p>
            <w:pPr>
              <w:jc w:val="left"/>
            </w:pPr>
            <w:r/>
            <w:r>
              <w:rPr>
                <w:b w:val="0"/>
                <w:sz w:val="15"/>
              </w:rPr>
            </w:r>
          </w:p>
        </w:tc>
        <w:tc>
          <w:tcPr>
            <w:tcW w:type="dxa" w:w="1368"/>
            <w:vAlign w:val="top"/>
          </w:tcPr>
          <w:p>
            <w:pPr>
              <w:jc w:val="left"/>
            </w:pPr>
            <w:r/>
            <w:r>
              <w:rPr>
                <w:b w:val="0"/>
                <w:sz w:val="15"/>
              </w:rPr>
            </w:r>
          </w:p>
        </w:tc>
        <w:tc>
          <w:tcPr>
            <w:tcW w:type="dxa" w:w="1152"/>
            <w:vAlign w:val="top"/>
          </w:tcPr>
          <w:p>
            <w:pPr>
              <w:jc w:val="left"/>
            </w:pPr>
            <w:r/>
            <w:r>
              <w:rPr>
                <w:b w:val="0"/>
                <w:sz w:val="15"/>
              </w:rPr>
            </w:r>
          </w:p>
        </w:tc>
        <w:tc>
          <w:tcPr>
            <w:tcW w:type="dxa" w:w="1728"/>
            <w:vAlign w:val="top"/>
          </w:tcPr>
          <w:p>
            <w:pPr>
              <w:jc w:val="left"/>
            </w:pPr>
            <w:r/>
            <w:r>
              <w:rPr>
                <w:b w:val="0"/>
                <w:sz w:val="15"/>
              </w:rPr>
            </w:r>
          </w:p>
        </w:tc>
      </w:tr>
      <w:tr>
        <w:tc>
          <w:tcPr>
            <w:tcW w:type="dxa" w:w="1080"/>
            <w:vAlign w:val="top"/>
          </w:tcPr>
          <w:p>
            <w:pPr>
              <w:jc w:val="left"/>
            </w:pPr>
            <w:r/>
            <w:r>
              <w:rPr>
                <w:b w:val="0"/>
                <w:sz w:val="15"/>
              </w:rPr>
            </w:r>
          </w:p>
        </w:tc>
        <w:tc>
          <w:tcPr>
            <w:tcW w:type="dxa" w:w="1800"/>
            <w:vAlign w:val="top"/>
          </w:tcPr>
          <w:p>
            <w:pPr>
              <w:jc w:val="left"/>
            </w:pPr>
            <w:r/>
            <w:r>
              <w:rPr>
                <w:b w:val="0"/>
                <w:sz w:val="15"/>
              </w:rPr>
            </w:r>
          </w:p>
        </w:tc>
        <w:tc>
          <w:tcPr>
            <w:tcW w:type="dxa" w:w="1224"/>
            <w:vAlign w:val="top"/>
          </w:tcPr>
          <w:p>
            <w:pPr>
              <w:jc w:val="left"/>
            </w:pPr>
            <w:r/>
            <w:r>
              <w:rPr>
                <w:b w:val="0"/>
                <w:sz w:val="15"/>
              </w:rPr>
            </w:r>
          </w:p>
        </w:tc>
        <w:tc>
          <w:tcPr>
            <w:tcW w:type="dxa" w:w="1224"/>
            <w:vAlign w:val="top"/>
          </w:tcPr>
          <w:p>
            <w:pPr>
              <w:jc w:val="left"/>
            </w:pPr>
            <w:r/>
            <w:r>
              <w:rPr>
                <w:b w:val="0"/>
                <w:sz w:val="15"/>
              </w:rPr>
            </w:r>
          </w:p>
        </w:tc>
        <w:tc>
          <w:tcPr>
            <w:tcW w:type="dxa" w:w="1368"/>
            <w:vAlign w:val="top"/>
          </w:tcPr>
          <w:p>
            <w:pPr>
              <w:jc w:val="left"/>
            </w:pPr>
            <w:r/>
            <w:r>
              <w:rPr>
                <w:b w:val="0"/>
                <w:sz w:val="15"/>
              </w:rPr>
            </w:r>
          </w:p>
        </w:tc>
        <w:tc>
          <w:tcPr>
            <w:tcW w:type="dxa" w:w="1368"/>
            <w:vAlign w:val="top"/>
          </w:tcPr>
          <w:p>
            <w:pPr>
              <w:jc w:val="left"/>
            </w:pPr>
            <w:r/>
            <w:r>
              <w:rPr>
                <w:b w:val="0"/>
                <w:sz w:val="15"/>
              </w:rPr>
            </w:r>
          </w:p>
        </w:tc>
        <w:tc>
          <w:tcPr>
            <w:tcW w:type="dxa" w:w="1152"/>
            <w:vAlign w:val="top"/>
          </w:tcPr>
          <w:p>
            <w:pPr>
              <w:jc w:val="left"/>
            </w:pPr>
            <w:r/>
            <w:r>
              <w:rPr>
                <w:b w:val="0"/>
                <w:sz w:val="15"/>
              </w:rPr>
            </w:r>
          </w:p>
        </w:tc>
        <w:tc>
          <w:tcPr>
            <w:tcW w:type="dxa" w:w="1728"/>
            <w:vAlign w:val="top"/>
          </w:tcPr>
          <w:p>
            <w:pPr>
              <w:jc w:val="left"/>
            </w:pPr>
            <w:r/>
            <w:r>
              <w:rPr>
                <w:b w:val="0"/>
                <w:sz w:val="15"/>
              </w:rPr>
            </w:r>
          </w:p>
        </w:tc>
      </w:tr>
      <w:tr>
        <w:tc>
          <w:tcPr>
            <w:tcW w:type="dxa" w:w="1080"/>
            <w:vAlign w:val="top"/>
          </w:tcPr>
          <w:p>
            <w:pPr>
              <w:jc w:val="left"/>
            </w:pPr>
            <w:r/>
            <w:r>
              <w:rPr>
                <w:b w:val="0"/>
                <w:sz w:val="15"/>
              </w:rPr>
            </w:r>
          </w:p>
        </w:tc>
        <w:tc>
          <w:tcPr>
            <w:tcW w:type="dxa" w:w="1800"/>
            <w:vAlign w:val="top"/>
          </w:tcPr>
          <w:p>
            <w:pPr>
              <w:jc w:val="left"/>
            </w:pPr>
            <w:r/>
            <w:r>
              <w:rPr>
                <w:b w:val="0"/>
                <w:sz w:val="15"/>
              </w:rPr>
            </w:r>
          </w:p>
        </w:tc>
        <w:tc>
          <w:tcPr>
            <w:tcW w:type="dxa" w:w="1224"/>
            <w:vAlign w:val="top"/>
          </w:tcPr>
          <w:p>
            <w:pPr>
              <w:jc w:val="left"/>
            </w:pPr>
            <w:r/>
            <w:r>
              <w:rPr>
                <w:b w:val="0"/>
                <w:sz w:val="15"/>
              </w:rPr>
            </w:r>
          </w:p>
        </w:tc>
        <w:tc>
          <w:tcPr>
            <w:tcW w:type="dxa" w:w="1224"/>
            <w:vAlign w:val="top"/>
          </w:tcPr>
          <w:p>
            <w:pPr>
              <w:jc w:val="left"/>
            </w:pPr>
            <w:r/>
            <w:r>
              <w:rPr>
                <w:b w:val="0"/>
                <w:sz w:val="15"/>
              </w:rPr>
            </w:r>
          </w:p>
        </w:tc>
        <w:tc>
          <w:tcPr>
            <w:tcW w:type="dxa" w:w="1368"/>
            <w:vAlign w:val="top"/>
          </w:tcPr>
          <w:p>
            <w:pPr>
              <w:jc w:val="left"/>
            </w:pPr>
            <w:r/>
            <w:r>
              <w:rPr>
                <w:b w:val="0"/>
                <w:sz w:val="15"/>
              </w:rPr>
            </w:r>
          </w:p>
        </w:tc>
        <w:tc>
          <w:tcPr>
            <w:tcW w:type="dxa" w:w="1368"/>
            <w:vAlign w:val="top"/>
          </w:tcPr>
          <w:p>
            <w:pPr>
              <w:jc w:val="left"/>
            </w:pPr>
            <w:r/>
            <w:r>
              <w:rPr>
                <w:b w:val="0"/>
                <w:sz w:val="15"/>
              </w:rPr>
            </w:r>
          </w:p>
        </w:tc>
        <w:tc>
          <w:tcPr>
            <w:tcW w:type="dxa" w:w="1152"/>
            <w:vAlign w:val="top"/>
          </w:tcPr>
          <w:p>
            <w:pPr>
              <w:jc w:val="left"/>
            </w:pPr>
            <w:r/>
            <w:r>
              <w:rPr>
                <w:b w:val="0"/>
                <w:sz w:val="15"/>
              </w:rPr>
            </w:r>
          </w:p>
        </w:tc>
        <w:tc>
          <w:tcPr>
            <w:tcW w:type="dxa" w:w="1728"/>
            <w:vAlign w:val="top"/>
          </w:tcPr>
          <w:p>
            <w:pPr>
              <w:jc w:val="left"/>
            </w:pPr>
            <w:r/>
            <w:r>
              <w:rPr>
                <w:b w:val="0"/>
                <w:sz w:val="15"/>
              </w:rPr>
            </w:r>
          </w:p>
        </w:tc>
      </w:tr>
      <w:tr>
        <w:tc>
          <w:tcPr>
            <w:tcW w:type="dxa" w:w="1080"/>
            <w:vAlign w:val="top"/>
          </w:tcPr>
          <w:p>
            <w:pPr>
              <w:jc w:val="left"/>
            </w:pPr>
            <w:r/>
            <w:r>
              <w:rPr>
                <w:b w:val="0"/>
                <w:sz w:val="15"/>
              </w:rPr>
            </w:r>
          </w:p>
        </w:tc>
        <w:tc>
          <w:tcPr>
            <w:tcW w:type="dxa" w:w="1800"/>
            <w:vAlign w:val="top"/>
          </w:tcPr>
          <w:p>
            <w:pPr>
              <w:jc w:val="left"/>
            </w:pPr>
            <w:r/>
            <w:r>
              <w:rPr>
                <w:b w:val="0"/>
                <w:sz w:val="15"/>
              </w:rPr>
            </w:r>
          </w:p>
        </w:tc>
        <w:tc>
          <w:tcPr>
            <w:tcW w:type="dxa" w:w="1224"/>
            <w:vAlign w:val="top"/>
          </w:tcPr>
          <w:p>
            <w:pPr>
              <w:jc w:val="left"/>
            </w:pPr>
            <w:r/>
            <w:r>
              <w:rPr>
                <w:b w:val="0"/>
                <w:sz w:val="15"/>
              </w:rPr>
            </w:r>
          </w:p>
        </w:tc>
        <w:tc>
          <w:tcPr>
            <w:tcW w:type="dxa" w:w="1224"/>
            <w:vAlign w:val="top"/>
          </w:tcPr>
          <w:p>
            <w:pPr>
              <w:jc w:val="left"/>
            </w:pPr>
            <w:r/>
            <w:r>
              <w:rPr>
                <w:b w:val="0"/>
                <w:sz w:val="15"/>
              </w:rPr>
            </w:r>
          </w:p>
        </w:tc>
        <w:tc>
          <w:tcPr>
            <w:tcW w:type="dxa" w:w="1368"/>
            <w:vAlign w:val="top"/>
          </w:tcPr>
          <w:p>
            <w:pPr>
              <w:jc w:val="left"/>
            </w:pPr>
            <w:r/>
            <w:r>
              <w:rPr>
                <w:b w:val="0"/>
                <w:sz w:val="15"/>
              </w:rPr>
            </w:r>
          </w:p>
        </w:tc>
        <w:tc>
          <w:tcPr>
            <w:tcW w:type="dxa" w:w="1368"/>
            <w:vAlign w:val="top"/>
          </w:tcPr>
          <w:p>
            <w:pPr>
              <w:jc w:val="left"/>
            </w:pPr>
            <w:r/>
            <w:r>
              <w:rPr>
                <w:b w:val="0"/>
                <w:sz w:val="15"/>
              </w:rPr>
            </w:r>
          </w:p>
        </w:tc>
        <w:tc>
          <w:tcPr>
            <w:tcW w:type="dxa" w:w="1152"/>
            <w:vAlign w:val="top"/>
          </w:tcPr>
          <w:p>
            <w:pPr>
              <w:jc w:val="left"/>
            </w:pPr>
            <w:r/>
            <w:r>
              <w:rPr>
                <w:b w:val="0"/>
                <w:sz w:val="15"/>
              </w:rPr>
            </w:r>
          </w:p>
        </w:tc>
        <w:tc>
          <w:tcPr>
            <w:tcW w:type="dxa" w:w="1728"/>
            <w:vAlign w:val="top"/>
          </w:tcPr>
          <w:p>
            <w:pPr>
              <w:jc w:val="left"/>
            </w:pPr>
            <w:r/>
            <w:r>
              <w:rPr>
                <w:b w:val="0"/>
                <w:sz w:val="15"/>
              </w:rPr>
            </w:r>
          </w:p>
        </w:tc>
      </w:tr>
      <w:tr>
        <w:tc>
          <w:tcPr>
            <w:tcW w:type="dxa" w:w="1080"/>
            <w:vAlign w:val="top"/>
          </w:tcPr>
          <w:p>
            <w:pPr>
              <w:jc w:val="left"/>
            </w:pPr>
            <w:r/>
            <w:r>
              <w:rPr>
                <w:b w:val="0"/>
                <w:sz w:val="15"/>
              </w:rPr>
            </w:r>
          </w:p>
        </w:tc>
        <w:tc>
          <w:tcPr>
            <w:tcW w:type="dxa" w:w="1800"/>
            <w:vAlign w:val="top"/>
          </w:tcPr>
          <w:p>
            <w:pPr>
              <w:jc w:val="left"/>
            </w:pPr>
            <w:r/>
            <w:r>
              <w:rPr>
                <w:b w:val="0"/>
                <w:sz w:val="15"/>
              </w:rPr>
            </w:r>
          </w:p>
        </w:tc>
        <w:tc>
          <w:tcPr>
            <w:tcW w:type="dxa" w:w="1224"/>
            <w:vAlign w:val="top"/>
          </w:tcPr>
          <w:p>
            <w:pPr>
              <w:jc w:val="left"/>
            </w:pPr>
            <w:r/>
            <w:r>
              <w:rPr>
                <w:b w:val="0"/>
                <w:sz w:val="15"/>
              </w:rPr>
            </w:r>
          </w:p>
        </w:tc>
        <w:tc>
          <w:tcPr>
            <w:tcW w:type="dxa" w:w="1224"/>
            <w:vAlign w:val="top"/>
          </w:tcPr>
          <w:p>
            <w:pPr>
              <w:jc w:val="left"/>
            </w:pPr>
            <w:r/>
            <w:r>
              <w:rPr>
                <w:b w:val="0"/>
                <w:sz w:val="15"/>
              </w:rPr>
            </w:r>
          </w:p>
        </w:tc>
        <w:tc>
          <w:tcPr>
            <w:tcW w:type="dxa" w:w="1368"/>
            <w:vAlign w:val="top"/>
          </w:tcPr>
          <w:p>
            <w:pPr>
              <w:jc w:val="left"/>
            </w:pPr>
            <w:r/>
            <w:r>
              <w:rPr>
                <w:b w:val="0"/>
                <w:sz w:val="15"/>
              </w:rPr>
            </w:r>
          </w:p>
        </w:tc>
        <w:tc>
          <w:tcPr>
            <w:tcW w:type="dxa" w:w="1368"/>
            <w:vAlign w:val="top"/>
          </w:tcPr>
          <w:p>
            <w:pPr>
              <w:jc w:val="left"/>
            </w:pPr>
            <w:r/>
            <w:r>
              <w:rPr>
                <w:b w:val="0"/>
                <w:sz w:val="15"/>
              </w:rPr>
            </w:r>
          </w:p>
        </w:tc>
        <w:tc>
          <w:tcPr>
            <w:tcW w:type="dxa" w:w="1152"/>
            <w:vAlign w:val="top"/>
          </w:tcPr>
          <w:p>
            <w:pPr>
              <w:jc w:val="left"/>
            </w:pPr>
            <w:r/>
            <w:r>
              <w:rPr>
                <w:b w:val="0"/>
                <w:sz w:val="15"/>
              </w:rPr>
            </w:r>
          </w:p>
        </w:tc>
        <w:tc>
          <w:tcPr>
            <w:tcW w:type="dxa" w:w="1728"/>
            <w:vAlign w:val="top"/>
          </w:tcPr>
          <w:p>
            <w:pPr>
              <w:jc w:val="left"/>
            </w:pPr>
            <w:r/>
            <w:r>
              <w:rPr>
                <w:b w:val="0"/>
                <w:sz w:val="15"/>
              </w:rPr>
            </w:r>
          </w:p>
        </w:tc>
      </w:tr>
      <w:tr>
        <w:tc>
          <w:tcPr>
            <w:tcW w:type="dxa" w:w="1080"/>
            <w:vAlign w:val="top"/>
          </w:tcPr>
          <w:p>
            <w:pPr>
              <w:jc w:val="left"/>
            </w:pPr>
            <w:r/>
            <w:r>
              <w:rPr>
                <w:b w:val="0"/>
                <w:sz w:val="15"/>
              </w:rPr>
            </w:r>
          </w:p>
        </w:tc>
        <w:tc>
          <w:tcPr>
            <w:tcW w:type="dxa" w:w="1800"/>
            <w:vAlign w:val="top"/>
          </w:tcPr>
          <w:p>
            <w:pPr>
              <w:jc w:val="left"/>
            </w:pPr>
            <w:r/>
            <w:r>
              <w:rPr>
                <w:b w:val="0"/>
                <w:sz w:val="15"/>
              </w:rPr>
            </w:r>
          </w:p>
        </w:tc>
        <w:tc>
          <w:tcPr>
            <w:tcW w:type="dxa" w:w="1224"/>
            <w:vAlign w:val="top"/>
          </w:tcPr>
          <w:p>
            <w:pPr>
              <w:jc w:val="left"/>
            </w:pPr>
            <w:r/>
            <w:r>
              <w:rPr>
                <w:b w:val="0"/>
                <w:sz w:val="15"/>
              </w:rPr>
            </w:r>
          </w:p>
        </w:tc>
        <w:tc>
          <w:tcPr>
            <w:tcW w:type="dxa" w:w="1224"/>
            <w:vAlign w:val="top"/>
          </w:tcPr>
          <w:p>
            <w:pPr>
              <w:jc w:val="left"/>
            </w:pPr>
            <w:r/>
            <w:r>
              <w:rPr>
                <w:b w:val="0"/>
                <w:sz w:val="15"/>
              </w:rPr>
            </w:r>
          </w:p>
        </w:tc>
        <w:tc>
          <w:tcPr>
            <w:tcW w:type="dxa" w:w="1368"/>
            <w:vAlign w:val="top"/>
          </w:tcPr>
          <w:p>
            <w:pPr>
              <w:jc w:val="left"/>
            </w:pPr>
            <w:r/>
            <w:r>
              <w:rPr>
                <w:b w:val="0"/>
                <w:sz w:val="15"/>
              </w:rPr>
            </w:r>
          </w:p>
        </w:tc>
        <w:tc>
          <w:tcPr>
            <w:tcW w:type="dxa" w:w="1368"/>
            <w:vAlign w:val="top"/>
          </w:tcPr>
          <w:p>
            <w:pPr>
              <w:jc w:val="left"/>
            </w:pPr>
            <w:r/>
            <w:r>
              <w:rPr>
                <w:b w:val="0"/>
                <w:sz w:val="15"/>
              </w:rPr>
            </w:r>
          </w:p>
        </w:tc>
        <w:tc>
          <w:tcPr>
            <w:tcW w:type="dxa" w:w="1152"/>
            <w:vAlign w:val="top"/>
          </w:tcPr>
          <w:p>
            <w:pPr>
              <w:jc w:val="left"/>
            </w:pPr>
            <w:r/>
            <w:r>
              <w:rPr>
                <w:b w:val="0"/>
                <w:sz w:val="15"/>
              </w:rPr>
            </w:r>
          </w:p>
        </w:tc>
        <w:tc>
          <w:tcPr>
            <w:tcW w:type="dxa" w:w="1728"/>
            <w:vAlign w:val="top"/>
          </w:tcPr>
          <w:p>
            <w:pPr>
              <w:jc w:val="left"/>
            </w:pPr>
            <w:r/>
            <w:r>
              <w:rPr>
                <w:b w:val="0"/>
                <w:sz w:val="15"/>
              </w:rPr>
            </w:r>
          </w:p>
        </w:tc>
      </w:tr>
      <w:tr>
        <w:tc>
          <w:tcPr>
            <w:tcW w:type="dxa" w:w="1080"/>
            <w:vAlign w:val="top"/>
          </w:tcPr>
          <w:p>
            <w:pPr>
              <w:jc w:val="left"/>
            </w:pPr>
            <w:r/>
            <w:r>
              <w:rPr>
                <w:b w:val="0"/>
                <w:sz w:val="15"/>
              </w:rPr>
            </w:r>
          </w:p>
        </w:tc>
        <w:tc>
          <w:tcPr>
            <w:tcW w:type="dxa" w:w="1800"/>
            <w:vAlign w:val="top"/>
          </w:tcPr>
          <w:p>
            <w:pPr>
              <w:jc w:val="left"/>
            </w:pPr>
            <w:r/>
            <w:r>
              <w:rPr>
                <w:b w:val="0"/>
                <w:sz w:val="15"/>
              </w:rPr>
            </w:r>
          </w:p>
        </w:tc>
        <w:tc>
          <w:tcPr>
            <w:tcW w:type="dxa" w:w="1224"/>
            <w:vAlign w:val="top"/>
          </w:tcPr>
          <w:p>
            <w:pPr>
              <w:jc w:val="left"/>
            </w:pPr>
            <w:r/>
            <w:r>
              <w:rPr>
                <w:b w:val="0"/>
                <w:sz w:val="15"/>
              </w:rPr>
            </w:r>
          </w:p>
        </w:tc>
        <w:tc>
          <w:tcPr>
            <w:tcW w:type="dxa" w:w="1224"/>
            <w:vAlign w:val="top"/>
          </w:tcPr>
          <w:p>
            <w:pPr>
              <w:jc w:val="left"/>
            </w:pPr>
            <w:r/>
            <w:r>
              <w:rPr>
                <w:b w:val="0"/>
                <w:sz w:val="15"/>
              </w:rPr>
            </w:r>
          </w:p>
        </w:tc>
        <w:tc>
          <w:tcPr>
            <w:tcW w:type="dxa" w:w="1368"/>
            <w:vAlign w:val="top"/>
          </w:tcPr>
          <w:p>
            <w:pPr>
              <w:jc w:val="left"/>
            </w:pPr>
            <w:r/>
            <w:r>
              <w:rPr>
                <w:b w:val="0"/>
                <w:sz w:val="15"/>
              </w:rPr>
            </w:r>
          </w:p>
        </w:tc>
        <w:tc>
          <w:tcPr>
            <w:tcW w:type="dxa" w:w="1368"/>
            <w:vAlign w:val="top"/>
          </w:tcPr>
          <w:p>
            <w:pPr>
              <w:jc w:val="left"/>
            </w:pPr>
            <w:r/>
            <w:r>
              <w:rPr>
                <w:b w:val="0"/>
                <w:sz w:val="15"/>
              </w:rPr>
            </w:r>
          </w:p>
        </w:tc>
        <w:tc>
          <w:tcPr>
            <w:tcW w:type="dxa" w:w="1152"/>
            <w:vAlign w:val="top"/>
          </w:tcPr>
          <w:p>
            <w:pPr>
              <w:jc w:val="left"/>
            </w:pPr>
            <w:r/>
            <w:r>
              <w:rPr>
                <w:b w:val="0"/>
                <w:sz w:val="15"/>
              </w:rPr>
            </w:r>
          </w:p>
        </w:tc>
        <w:tc>
          <w:tcPr>
            <w:tcW w:type="dxa" w:w="1728"/>
            <w:vAlign w:val="top"/>
          </w:tcPr>
          <w:p>
            <w:pPr>
              <w:jc w:val="left"/>
            </w:pPr>
            <w:r/>
            <w:r>
              <w:rPr>
                <w:b w:val="0"/>
                <w:sz w:val="15"/>
              </w:rPr>
            </w:r>
          </w:p>
        </w:tc>
      </w:tr>
      <w:tr>
        <w:tc>
          <w:tcPr>
            <w:tcW w:type="dxa" w:w="1080"/>
            <w:vAlign w:val="top"/>
          </w:tcPr>
          <w:p>
            <w:pPr>
              <w:jc w:val="left"/>
            </w:pPr>
            <w:r/>
            <w:r>
              <w:rPr>
                <w:b w:val="0"/>
                <w:sz w:val="15"/>
              </w:rPr>
            </w:r>
          </w:p>
        </w:tc>
        <w:tc>
          <w:tcPr>
            <w:tcW w:type="dxa" w:w="1800"/>
            <w:vAlign w:val="top"/>
          </w:tcPr>
          <w:p>
            <w:pPr>
              <w:jc w:val="left"/>
            </w:pPr>
            <w:r/>
            <w:r>
              <w:rPr>
                <w:b w:val="0"/>
                <w:sz w:val="15"/>
              </w:rPr>
            </w:r>
          </w:p>
        </w:tc>
        <w:tc>
          <w:tcPr>
            <w:tcW w:type="dxa" w:w="1224"/>
            <w:vAlign w:val="top"/>
          </w:tcPr>
          <w:p>
            <w:pPr>
              <w:jc w:val="left"/>
            </w:pPr>
            <w:r/>
            <w:r>
              <w:rPr>
                <w:b w:val="0"/>
                <w:sz w:val="15"/>
              </w:rPr>
            </w:r>
          </w:p>
        </w:tc>
        <w:tc>
          <w:tcPr>
            <w:tcW w:type="dxa" w:w="1224"/>
            <w:vAlign w:val="top"/>
          </w:tcPr>
          <w:p>
            <w:pPr>
              <w:jc w:val="left"/>
            </w:pPr>
            <w:r/>
            <w:r>
              <w:rPr>
                <w:b w:val="0"/>
                <w:sz w:val="15"/>
              </w:rPr>
            </w:r>
          </w:p>
        </w:tc>
        <w:tc>
          <w:tcPr>
            <w:tcW w:type="dxa" w:w="1368"/>
            <w:vAlign w:val="top"/>
          </w:tcPr>
          <w:p>
            <w:pPr>
              <w:jc w:val="left"/>
            </w:pPr>
            <w:r/>
            <w:r>
              <w:rPr>
                <w:b w:val="0"/>
                <w:sz w:val="15"/>
              </w:rPr>
            </w:r>
          </w:p>
        </w:tc>
        <w:tc>
          <w:tcPr>
            <w:tcW w:type="dxa" w:w="1368"/>
            <w:vAlign w:val="top"/>
          </w:tcPr>
          <w:p>
            <w:pPr>
              <w:jc w:val="left"/>
            </w:pPr>
            <w:r/>
            <w:r>
              <w:rPr>
                <w:b w:val="0"/>
                <w:sz w:val="15"/>
              </w:rPr>
            </w:r>
          </w:p>
        </w:tc>
        <w:tc>
          <w:tcPr>
            <w:tcW w:type="dxa" w:w="1152"/>
            <w:vAlign w:val="top"/>
          </w:tcPr>
          <w:p>
            <w:pPr>
              <w:jc w:val="left"/>
            </w:pPr>
            <w:r/>
            <w:r>
              <w:rPr>
                <w:b w:val="0"/>
                <w:sz w:val="15"/>
              </w:rPr>
            </w:r>
          </w:p>
        </w:tc>
        <w:tc>
          <w:tcPr>
            <w:tcW w:type="dxa" w:w="1728"/>
            <w:vAlign w:val="top"/>
          </w:tcPr>
          <w:p>
            <w:pPr>
              <w:jc w:val="left"/>
            </w:pPr>
            <w:r/>
            <w:r>
              <w:rPr>
                <w:b w:val="0"/>
                <w:sz w:val="15"/>
              </w:rPr>
            </w:r>
          </w:p>
        </w:tc>
      </w:tr>
    </w:tbl>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752"/>
        <w:gridCol w:w="1752"/>
        <w:gridCol w:w="1752"/>
        <w:gridCol w:w="1752"/>
        <w:gridCol w:w="1752"/>
        <w:gridCol w:w="1752"/>
      </w:tblGrid>
      <w:tr>
        <w:tc>
          <w:tcPr>
            <w:tcW w:type="dxa" w:w="1008"/>
            <w:vAlign w:val="top"/>
            <w:shd w:fill="D9EAF7"/>
          </w:tcPr>
          <w:p>
            <w:pPr>
              <w:jc w:val="left"/>
            </w:pPr>
            <w:r/>
            <w:r>
              <w:rPr>
                <w:b/>
                <w:sz w:val="15"/>
              </w:rPr>
              <w:t>Week</w:t>
            </w:r>
          </w:p>
        </w:tc>
        <w:tc>
          <w:tcPr>
            <w:tcW w:type="dxa" w:w="2088"/>
            <w:vAlign w:val="top"/>
            <w:shd w:fill="D9EAF7"/>
          </w:tcPr>
          <w:p>
            <w:pPr>
              <w:jc w:val="left"/>
            </w:pPr>
            <w:r/>
            <w:r>
              <w:rPr>
                <w:b/>
                <w:sz w:val="15"/>
              </w:rPr>
              <w:t>What changed?</w:t>
            </w:r>
          </w:p>
        </w:tc>
        <w:tc>
          <w:tcPr>
            <w:tcW w:type="dxa" w:w="1944"/>
            <w:vAlign w:val="top"/>
            <w:shd w:fill="D9EAF7"/>
          </w:tcPr>
          <w:p>
            <w:pPr>
              <w:jc w:val="left"/>
            </w:pPr>
            <w:r/>
            <w:r>
              <w:rPr>
                <w:b/>
                <w:sz w:val="15"/>
              </w:rPr>
              <w:t>Best signal</w:t>
            </w:r>
          </w:p>
        </w:tc>
        <w:tc>
          <w:tcPr>
            <w:tcW w:type="dxa" w:w="1944"/>
            <w:vAlign w:val="top"/>
            <w:shd w:fill="D9EAF7"/>
          </w:tcPr>
          <w:p>
            <w:pPr>
              <w:jc w:val="left"/>
            </w:pPr>
            <w:r/>
            <w:r>
              <w:rPr>
                <w:b/>
                <w:sz w:val="15"/>
              </w:rPr>
              <w:t>Worst signal</w:t>
            </w:r>
          </w:p>
        </w:tc>
        <w:tc>
          <w:tcPr>
            <w:tcW w:type="dxa" w:w="1656"/>
            <w:vAlign w:val="top"/>
            <w:shd w:fill="D9EAF7"/>
          </w:tcPr>
          <w:p>
            <w:pPr>
              <w:jc w:val="left"/>
            </w:pPr>
            <w:r/>
            <w:r>
              <w:rPr>
                <w:b/>
                <w:sz w:val="15"/>
              </w:rPr>
              <w:t>Labs/metrics</w:t>
            </w:r>
          </w:p>
        </w:tc>
        <w:tc>
          <w:tcPr>
            <w:tcW w:type="dxa" w:w="1728"/>
            <w:vAlign w:val="top"/>
            <w:shd w:fill="D9EAF7"/>
          </w:tcPr>
          <w:p>
            <w:pPr>
              <w:jc w:val="left"/>
            </w:pPr>
            <w:r/>
            <w:r>
              <w:rPr>
                <w:b/>
                <w:sz w:val="15"/>
              </w:rPr>
              <w:t>Decision for next week</w:t>
            </w:r>
          </w:p>
        </w:tc>
      </w:tr>
      <w:tr>
        <w:tc>
          <w:tcPr>
            <w:tcW w:type="dxa" w:w="1008"/>
            <w:vAlign w:val="top"/>
          </w:tcPr>
          <w:p>
            <w:pPr>
              <w:jc w:val="left"/>
            </w:pPr>
            <w:r/>
            <w:r>
              <w:rPr>
                <w:b w:val="0"/>
                <w:sz w:val="15"/>
              </w:rPr>
            </w:r>
          </w:p>
        </w:tc>
        <w:tc>
          <w:tcPr>
            <w:tcW w:type="dxa" w:w="2088"/>
            <w:vAlign w:val="top"/>
          </w:tcPr>
          <w:p>
            <w:pPr>
              <w:jc w:val="left"/>
            </w:pPr>
            <w:r/>
            <w:r>
              <w:rPr>
                <w:b w:val="0"/>
                <w:sz w:val="15"/>
              </w:rPr>
            </w:r>
          </w:p>
        </w:tc>
        <w:tc>
          <w:tcPr>
            <w:tcW w:type="dxa" w:w="1944"/>
            <w:vAlign w:val="top"/>
          </w:tcPr>
          <w:p>
            <w:pPr>
              <w:jc w:val="left"/>
            </w:pPr>
            <w:r/>
            <w:r>
              <w:rPr>
                <w:b w:val="0"/>
                <w:sz w:val="15"/>
              </w:rPr>
            </w:r>
          </w:p>
        </w:tc>
        <w:tc>
          <w:tcPr>
            <w:tcW w:type="dxa" w:w="1944"/>
            <w:vAlign w:val="top"/>
          </w:tcPr>
          <w:p>
            <w:pPr>
              <w:jc w:val="left"/>
            </w:pPr>
            <w:r/>
            <w:r>
              <w:rPr>
                <w:b w:val="0"/>
                <w:sz w:val="15"/>
              </w:rPr>
            </w:r>
          </w:p>
        </w:tc>
        <w:tc>
          <w:tcPr>
            <w:tcW w:type="dxa" w:w="1656"/>
            <w:vAlign w:val="top"/>
          </w:tcPr>
          <w:p>
            <w:pPr>
              <w:jc w:val="left"/>
            </w:pPr>
            <w:r/>
            <w:r>
              <w:rPr>
                <w:b w:val="0"/>
                <w:sz w:val="15"/>
              </w:rPr>
            </w:r>
          </w:p>
        </w:tc>
        <w:tc>
          <w:tcPr>
            <w:tcW w:type="dxa" w:w="1728"/>
            <w:vAlign w:val="top"/>
          </w:tcPr>
          <w:p>
            <w:pPr>
              <w:jc w:val="left"/>
            </w:pPr>
            <w:r/>
            <w:r>
              <w:rPr>
                <w:b w:val="0"/>
                <w:sz w:val="15"/>
              </w:rPr>
            </w:r>
          </w:p>
        </w:tc>
      </w:tr>
      <w:tr>
        <w:tc>
          <w:tcPr>
            <w:tcW w:type="dxa" w:w="1008"/>
            <w:vAlign w:val="top"/>
          </w:tcPr>
          <w:p>
            <w:pPr>
              <w:jc w:val="left"/>
            </w:pPr>
            <w:r/>
            <w:r>
              <w:rPr>
                <w:b w:val="0"/>
                <w:sz w:val="15"/>
              </w:rPr>
            </w:r>
          </w:p>
        </w:tc>
        <w:tc>
          <w:tcPr>
            <w:tcW w:type="dxa" w:w="2088"/>
            <w:vAlign w:val="top"/>
          </w:tcPr>
          <w:p>
            <w:pPr>
              <w:jc w:val="left"/>
            </w:pPr>
            <w:r/>
            <w:r>
              <w:rPr>
                <w:b w:val="0"/>
                <w:sz w:val="15"/>
              </w:rPr>
            </w:r>
          </w:p>
        </w:tc>
        <w:tc>
          <w:tcPr>
            <w:tcW w:type="dxa" w:w="1944"/>
            <w:vAlign w:val="top"/>
          </w:tcPr>
          <w:p>
            <w:pPr>
              <w:jc w:val="left"/>
            </w:pPr>
            <w:r/>
            <w:r>
              <w:rPr>
                <w:b w:val="0"/>
                <w:sz w:val="15"/>
              </w:rPr>
            </w:r>
          </w:p>
        </w:tc>
        <w:tc>
          <w:tcPr>
            <w:tcW w:type="dxa" w:w="1944"/>
            <w:vAlign w:val="top"/>
          </w:tcPr>
          <w:p>
            <w:pPr>
              <w:jc w:val="left"/>
            </w:pPr>
            <w:r/>
            <w:r>
              <w:rPr>
                <w:b w:val="0"/>
                <w:sz w:val="15"/>
              </w:rPr>
            </w:r>
          </w:p>
        </w:tc>
        <w:tc>
          <w:tcPr>
            <w:tcW w:type="dxa" w:w="1656"/>
            <w:vAlign w:val="top"/>
          </w:tcPr>
          <w:p>
            <w:pPr>
              <w:jc w:val="left"/>
            </w:pPr>
            <w:r/>
            <w:r>
              <w:rPr>
                <w:b w:val="0"/>
                <w:sz w:val="15"/>
              </w:rPr>
            </w:r>
          </w:p>
        </w:tc>
        <w:tc>
          <w:tcPr>
            <w:tcW w:type="dxa" w:w="1728"/>
            <w:vAlign w:val="top"/>
          </w:tcPr>
          <w:p>
            <w:pPr>
              <w:jc w:val="left"/>
            </w:pPr>
            <w:r/>
            <w:r>
              <w:rPr>
                <w:b w:val="0"/>
                <w:sz w:val="15"/>
              </w:rPr>
            </w:r>
          </w:p>
        </w:tc>
      </w:tr>
      <w:tr>
        <w:tc>
          <w:tcPr>
            <w:tcW w:type="dxa" w:w="1008"/>
            <w:vAlign w:val="top"/>
          </w:tcPr>
          <w:p>
            <w:pPr>
              <w:jc w:val="left"/>
            </w:pPr>
            <w:r/>
            <w:r>
              <w:rPr>
                <w:b w:val="0"/>
                <w:sz w:val="15"/>
              </w:rPr>
            </w:r>
          </w:p>
        </w:tc>
        <w:tc>
          <w:tcPr>
            <w:tcW w:type="dxa" w:w="2088"/>
            <w:vAlign w:val="top"/>
          </w:tcPr>
          <w:p>
            <w:pPr>
              <w:jc w:val="left"/>
            </w:pPr>
            <w:r/>
            <w:r>
              <w:rPr>
                <w:b w:val="0"/>
                <w:sz w:val="15"/>
              </w:rPr>
            </w:r>
          </w:p>
        </w:tc>
        <w:tc>
          <w:tcPr>
            <w:tcW w:type="dxa" w:w="1944"/>
            <w:vAlign w:val="top"/>
          </w:tcPr>
          <w:p>
            <w:pPr>
              <w:jc w:val="left"/>
            </w:pPr>
            <w:r/>
            <w:r>
              <w:rPr>
                <w:b w:val="0"/>
                <w:sz w:val="15"/>
              </w:rPr>
            </w:r>
          </w:p>
        </w:tc>
        <w:tc>
          <w:tcPr>
            <w:tcW w:type="dxa" w:w="1944"/>
            <w:vAlign w:val="top"/>
          </w:tcPr>
          <w:p>
            <w:pPr>
              <w:jc w:val="left"/>
            </w:pPr>
            <w:r/>
            <w:r>
              <w:rPr>
                <w:b w:val="0"/>
                <w:sz w:val="15"/>
              </w:rPr>
            </w:r>
          </w:p>
        </w:tc>
        <w:tc>
          <w:tcPr>
            <w:tcW w:type="dxa" w:w="1656"/>
            <w:vAlign w:val="top"/>
          </w:tcPr>
          <w:p>
            <w:pPr>
              <w:jc w:val="left"/>
            </w:pPr>
            <w:r/>
            <w:r>
              <w:rPr>
                <w:b w:val="0"/>
                <w:sz w:val="15"/>
              </w:rPr>
            </w:r>
          </w:p>
        </w:tc>
        <w:tc>
          <w:tcPr>
            <w:tcW w:type="dxa" w:w="1728"/>
            <w:vAlign w:val="top"/>
          </w:tcPr>
          <w:p>
            <w:pPr>
              <w:jc w:val="left"/>
            </w:pPr>
            <w:r/>
            <w:r>
              <w:rPr>
                <w:b w:val="0"/>
                <w:sz w:val="15"/>
              </w:rPr>
            </w:r>
          </w:p>
        </w:tc>
      </w:tr>
      <w:tr>
        <w:tc>
          <w:tcPr>
            <w:tcW w:type="dxa" w:w="1008"/>
            <w:vAlign w:val="top"/>
          </w:tcPr>
          <w:p>
            <w:pPr>
              <w:jc w:val="left"/>
            </w:pPr>
            <w:r/>
            <w:r>
              <w:rPr>
                <w:b w:val="0"/>
                <w:sz w:val="15"/>
              </w:rPr>
            </w:r>
          </w:p>
        </w:tc>
        <w:tc>
          <w:tcPr>
            <w:tcW w:type="dxa" w:w="2088"/>
            <w:vAlign w:val="top"/>
          </w:tcPr>
          <w:p>
            <w:pPr>
              <w:jc w:val="left"/>
            </w:pPr>
            <w:r/>
            <w:r>
              <w:rPr>
                <w:b w:val="0"/>
                <w:sz w:val="15"/>
              </w:rPr>
            </w:r>
          </w:p>
        </w:tc>
        <w:tc>
          <w:tcPr>
            <w:tcW w:type="dxa" w:w="1944"/>
            <w:vAlign w:val="top"/>
          </w:tcPr>
          <w:p>
            <w:pPr>
              <w:jc w:val="left"/>
            </w:pPr>
            <w:r/>
            <w:r>
              <w:rPr>
                <w:b w:val="0"/>
                <w:sz w:val="15"/>
              </w:rPr>
            </w:r>
          </w:p>
        </w:tc>
        <w:tc>
          <w:tcPr>
            <w:tcW w:type="dxa" w:w="1944"/>
            <w:vAlign w:val="top"/>
          </w:tcPr>
          <w:p>
            <w:pPr>
              <w:jc w:val="left"/>
            </w:pPr>
            <w:r/>
            <w:r>
              <w:rPr>
                <w:b w:val="0"/>
                <w:sz w:val="15"/>
              </w:rPr>
            </w:r>
          </w:p>
        </w:tc>
        <w:tc>
          <w:tcPr>
            <w:tcW w:type="dxa" w:w="1656"/>
            <w:vAlign w:val="top"/>
          </w:tcPr>
          <w:p>
            <w:pPr>
              <w:jc w:val="left"/>
            </w:pPr>
            <w:r/>
            <w:r>
              <w:rPr>
                <w:b w:val="0"/>
                <w:sz w:val="15"/>
              </w:rPr>
            </w:r>
          </w:p>
        </w:tc>
        <w:tc>
          <w:tcPr>
            <w:tcW w:type="dxa" w:w="1728"/>
            <w:vAlign w:val="top"/>
          </w:tcPr>
          <w:p>
            <w:pPr>
              <w:jc w:val="left"/>
            </w:pPr>
            <w:r/>
            <w:r>
              <w:rPr>
                <w:b w:val="0"/>
                <w:sz w:val="15"/>
              </w:rPr>
            </w:r>
          </w:p>
        </w:tc>
      </w:tr>
      <w:tr>
        <w:tc>
          <w:tcPr>
            <w:tcW w:type="dxa" w:w="1008"/>
            <w:vAlign w:val="top"/>
          </w:tcPr>
          <w:p>
            <w:pPr>
              <w:jc w:val="left"/>
            </w:pPr>
            <w:r/>
            <w:r>
              <w:rPr>
                <w:b w:val="0"/>
                <w:sz w:val="15"/>
              </w:rPr>
            </w:r>
          </w:p>
        </w:tc>
        <w:tc>
          <w:tcPr>
            <w:tcW w:type="dxa" w:w="2088"/>
            <w:vAlign w:val="top"/>
          </w:tcPr>
          <w:p>
            <w:pPr>
              <w:jc w:val="left"/>
            </w:pPr>
            <w:r/>
            <w:r>
              <w:rPr>
                <w:b w:val="0"/>
                <w:sz w:val="15"/>
              </w:rPr>
            </w:r>
          </w:p>
        </w:tc>
        <w:tc>
          <w:tcPr>
            <w:tcW w:type="dxa" w:w="1944"/>
            <w:vAlign w:val="top"/>
          </w:tcPr>
          <w:p>
            <w:pPr>
              <w:jc w:val="left"/>
            </w:pPr>
            <w:r/>
            <w:r>
              <w:rPr>
                <w:b w:val="0"/>
                <w:sz w:val="15"/>
              </w:rPr>
            </w:r>
          </w:p>
        </w:tc>
        <w:tc>
          <w:tcPr>
            <w:tcW w:type="dxa" w:w="1944"/>
            <w:vAlign w:val="top"/>
          </w:tcPr>
          <w:p>
            <w:pPr>
              <w:jc w:val="left"/>
            </w:pPr>
            <w:r/>
            <w:r>
              <w:rPr>
                <w:b w:val="0"/>
                <w:sz w:val="15"/>
              </w:rPr>
            </w:r>
          </w:p>
        </w:tc>
        <w:tc>
          <w:tcPr>
            <w:tcW w:type="dxa" w:w="1656"/>
            <w:vAlign w:val="top"/>
          </w:tcPr>
          <w:p>
            <w:pPr>
              <w:jc w:val="left"/>
            </w:pPr>
            <w:r/>
            <w:r>
              <w:rPr>
                <w:b w:val="0"/>
                <w:sz w:val="15"/>
              </w:rPr>
            </w:r>
          </w:p>
        </w:tc>
        <w:tc>
          <w:tcPr>
            <w:tcW w:type="dxa" w:w="1728"/>
            <w:vAlign w:val="top"/>
          </w:tcPr>
          <w:p>
            <w:pPr>
              <w:jc w:val="left"/>
            </w:pPr>
            <w:r/>
            <w:r>
              <w:rPr>
                <w:b w:val="0"/>
                <w:sz w:val="15"/>
              </w:rPr>
            </w:r>
          </w:p>
        </w:tc>
      </w:tr>
    </w:tbl>
    <w:p>
      <w:r>
        <w:br w:type="page"/>
      </w:r>
    </w:p>
    <w:p>
      <w:pPr>
        <w:pStyle w:val="Heading1"/>
      </w:pPr>
      <w:r>
        <w:t>9. Evidence and Safety Notes</w:t>
      </w:r>
    </w:p>
    <w:p>
      <w:pPr>
        <w:pStyle w:val="ListBullet"/>
      </w:pPr>
      <w:r>
        <w:t>Retatrutide: investigational once-weekly triple hormone receptor agonist. Phase 2 obesity data reported dose-related gastrointestinal adverse events and dose-dependent heart-rate increases.</w:t>
      </w:r>
    </w:p>
    <w:p>
      <w:pPr>
        <w:pStyle w:val="ListBullet"/>
      </w:pPr>
      <w:r>
        <w:t>Epitalon/Epitalon: pineal tetrapeptide discussed for telomerase, telomere, circadian, and aging biology. Evidence is not equivalent to a large modern FDA-approved clinical program; keep claims conservative and cycles bounded.</w:t>
      </w:r>
    </w:p>
    <w:p>
      <w:pPr>
        <w:pStyle w:val="ListBullet"/>
      </w:pPr>
      <w:r>
        <w:t>BPC-157, MOTS-c, KPV, Semax, Selank, Epitalon, and related compounded peptides: regulatory and quality concerns include immunogenicity, impurity, API characterization, and limited human exposure information for some compounds.</w:t>
      </w:r>
    </w:p>
    <w:p>
      <w:pPr>
        <w:pStyle w:val="ListBullet"/>
      </w:pPr>
      <w:r>
        <w:t>Vitamin E: NIH ODS describes antioxidant roles, but also notes bleeding-related cautions, medication interactions, and mixed trial outcomes at supplemental doses around 400 IU/day.</w:t>
      </w:r>
    </w:p>
    <w:p>
      <w:pPr>
        <w:pStyle w:val="ListBullet"/>
      </w:pPr>
      <w:r>
        <w:t>Selenium: NIH ODS lists the adult tolerable upper intake level as 400 mcg/day. A 200 mcg supplement may be reasonable to discuss, but total intake matters.</w:t>
      </w:r>
    </w:p>
    <w:p>
      <w:pPr>
        <w:pStyle w:val="ListBullet"/>
      </w:pPr>
      <w:r>
        <w:t>Ursodiol/TUDCA family: ursodeoxycholic acid is used for cholesterol gallstones and cholestatic liver diseases. TUDCA should be framed as bile-acid support, not guaranteed protection against biliary sludge or cholestasis.</w:t>
      </w:r>
    </w:p>
    <w:p>
      <w:pPr>
        <w:pStyle w:val="Heading2"/>
      </w:pPr>
      <w:r>
        <w:t>Selected References</w:t>
      </w:r>
    </w:p>
    <w:p>
      <w:pPr>
        <w:pStyle w:val="ListBullet"/>
      </w:pPr>
      <w:r>
        <w:t>Araj SK, et al. Overview of Epitalon, Highly Bioactive Pineal Tetrapeptide. 2025. https://pmc.ncbi.nlm.nih.gov/articles/PMC11943447/</w:t>
      </w:r>
    </w:p>
    <w:p>
      <w:pPr>
        <w:pStyle w:val="ListBullet"/>
      </w:pPr>
      <w:r>
        <w:t>Jastreboff AM, et al. Triple-Hormone-Receptor Agonist Retatrutide for Obesity. New England Journal of Medicine, 2023. https://www.nejm.org/doi/full/10.1056/NEJMoa2301972</w:t>
      </w:r>
    </w:p>
    <w:p>
      <w:pPr>
        <w:pStyle w:val="ListBullet"/>
      </w:pPr>
      <w:r>
        <w:t>Eli Lilly. What to know about retatrutide. Updated May 2026. https://www.lilly.com/news/stories/what-to-know-about-retatrutide</w:t>
      </w:r>
    </w:p>
    <w:p>
      <w:pPr>
        <w:pStyle w:val="ListBullet"/>
      </w:pPr>
      <w:r>
        <w:t>FDA. Certain Bulk Drug Substances for Use in Compounding that May Present Significant Safety Risks. https://www.fda.gov/drugs/human-drug-compounding/certain-bulk-drug-substances-use-compounding-may-present-significant-safety-risks</w:t>
      </w:r>
    </w:p>
    <w:p>
      <w:pPr>
        <w:pStyle w:val="ListBullet"/>
      </w:pPr>
      <w:r>
        <w:t>NIH Office of Dietary Supplements. Vitamin E Fact Sheet for Health Professionals. https://ods.od.nih.gov/factsheets/VitaminE-HealthProfessional/</w:t>
      </w:r>
    </w:p>
    <w:p>
      <w:pPr>
        <w:pStyle w:val="ListBullet"/>
      </w:pPr>
      <w:r>
        <w:t>NIH Office of Dietary Supplements. Selenium Fact Sheet for Health Professionals. https://ods.od.nih.gov/factsheets/Selenium-HealthProfessional/</w:t>
      </w:r>
    </w:p>
    <w:p>
      <w:pPr>
        <w:pStyle w:val="ListBullet"/>
      </w:pPr>
      <w:r>
        <w:t>NCBI LiverTox. Ursodiol, Ursodeoxycholic Acid. https://www.ncbi.nlm.nih.gov/books/NBK548309/</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