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far</w:t>
      </w:r>
      <w:r>
        <w:t xml:space="preserve"> </w:t>
      </w:r>
      <w:r>
        <w:t xml:space="preserve">can</w:t>
      </w:r>
      <w:r>
        <w:t xml:space="preserve"> </w:t>
      </w:r>
      <w:r>
        <w:t xml:space="preserve">anomalous</w:t>
      </w:r>
      <w:r>
        <w:t xml:space="preserve"> </w:t>
      </w:r>
      <w:r>
        <w:t xml:space="preserve">electron</w:t>
      </w:r>
      <w:r>
        <w:t xml:space="preserve"> </w:t>
      </w:r>
      <w:r>
        <w:t xml:space="preserve">screening</w:t>
      </w:r>
      <w:r>
        <w:t xml:space="preserve"> </w:t>
      </w:r>
      <w:r>
        <w:t xml:space="preserve">reach</w:t>
      </w:r>
      <w:r>
        <w:t xml:space="preserve"> </w:t>
      </w:r>
      <w:r>
        <w:t xml:space="preserve">at</w:t>
      </w:r>
      <w:r>
        <w:t xml:space="preserve"> </w:t>
      </w:r>
      <w:r>
        <w:t xml:space="preserve">rest?</w:t>
      </w:r>
      <w:r>
        <w:t xml:space="preserve"> </w:t>
      </w:r>
      <w:r>
        <w:t xml:space="preserve">Constraints</w:t>
      </w:r>
      <w:r>
        <w:t xml:space="preserve"> </w:t>
      </w:r>
      <w:r>
        <w:t xml:space="preserve">from</w:t>
      </w:r>
      <w:r>
        <w:t xml:space="preserve"> </w:t>
      </w:r>
      <w:r>
        <w:t xml:space="preserve">beam</w:t>
      </w:r>
      <w:r>
        <w:t xml:space="preserve"> </w:t>
      </w:r>
      <w:r>
        <w:t xml:space="preserve">measurements</w:t>
      </w:r>
      <w:r>
        <w:t xml:space="preserve"> </w:t>
      </w:r>
      <w:r>
        <w:t xml:space="preserve">and</w:t>
      </w:r>
      <w:r>
        <w:t xml:space="preserve"> </w:t>
      </w:r>
      <w:r>
        <w:t xml:space="preserve">null</w:t>
      </w:r>
      <w:r>
        <w:t xml:space="preserve"> </w:t>
      </w:r>
      <w:r>
        <w:t xml:space="preserve">neutron</w:t>
      </w:r>
      <w:r>
        <w:t xml:space="preserve"> </w:t>
      </w:r>
      <w:r>
        <w:t xml:space="preserve">searches</w:t>
      </w:r>
    </w:p>
    <w:p>
      <w:pPr>
        <w:pStyle w:val="Author"/>
      </w:pPr>
      <w:r>
        <w:t xml:space="preserve">[Author</w:t>
      </w:r>
      <w:r>
        <w:t xml:space="preserve"> </w:t>
      </w:r>
      <w:r>
        <w:t xml:space="preserve">names</w:t>
      </w:r>
      <w:r>
        <w:t xml:space="preserve"> </w:t>
      </w:r>
      <w:r>
        <w:t xml:space="preserve">and</w:t>
      </w:r>
      <w:r>
        <w:t xml:space="preserve"> </w:t>
      </w:r>
      <w:r>
        <w:t xml:space="preserve">affiliations</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October</w:t>
      </w:r>
      <w:r>
        <w:t xml:space="preserve"> </w:t>
      </w:r>
      <w:r>
        <w:t xml:space="preserve">2026</w:t>
      </w:r>
    </w:p>
    <w:p>
      <w:pPr>
        <w:pStyle w:val="AbstractTitle"/>
      </w:pPr>
      <w:r>
        <w:t xml:space="preserve">Abstract</w:t>
      </w:r>
    </w:p>
    <w:p>
      <w:pPr>
        <w:pStyle w:val="Abstract"/>
      </w:pPr>
      <w:r>
        <w:t xml:space="preserve">Low-energy</w:t>
      </w:r>
      <w:r>
        <w:t xml:space="preserve"> </w:t>
      </w:r>
      <w:r>
        <w:t xml:space="preserve">d(d,p)t</w:t>
      </w:r>
      <w:r>
        <w:t xml:space="preserve"> </w:t>
      </w:r>
      <w:r>
        <w:t xml:space="preserve">measurements</w:t>
      </w:r>
      <w:r>
        <w:t xml:space="preserve"> </w:t>
      </w:r>
      <w:r>
        <w:t xml:space="preserve">on</w:t>
      </w:r>
      <w:r>
        <w:t xml:space="preserve"> </w:t>
      </w:r>
      <w:r>
        <w:t xml:space="preserve">deuterated</w:t>
      </w:r>
      <w:r>
        <w:t xml:space="preserve"> </w:t>
      </w:r>
      <w:r>
        <w:t xml:space="preserve">metals</w:t>
      </w:r>
      <w:r>
        <w:t xml:space="preserve"> </w:t>
      </w:r>
      <w:r>
        <w:t xml:space="preserve">imply</w:t>
      </w:r>
      <w:r>
        <w:t xml:space="preserve"> </w:t>
      </w:r>
      <w:r>
        <w:t xml:space="preserve">electron</w:t>
      </w:r>
      <w:r>
        <w:t xml:space="preserve"> </w:t>
      </w:r>
      <w:r>
        <w:t xml:space="preserve">screening</w:t>
      </w:r>
      <w:r>
        <w:t xml:space="preserve"> </w:t>
      </w:r>
      <w:r>
        <w:t xml:space="preserve">energies</w:t>
      </w:r>
      <w:r>
        <w:t xml:space="preserve"> </w:t>
      </w:r>
      <w:r>
        <w:t xml:space="preserve">U</w:t>
      </w:r>
      <w:r>
        <w:rPr>
          <w:vertAlign w:val="subscript"/>
        </w:rPr>
        <w:t xml:space="preserve">e</w:t>
      </w:r>
      <w:r>
        <w:t xml:space="preserve"> </w:t>
      </w:r>
      <w:r>
        <w:t xml:space="preserve">of</w:t>
      </w:r>
      <w:r>
        <w:t xml:space="preserve"> </w:t>
      </w:r>
      <w:r>
        <w:t xml:space="preserve">0.2–0.8</w:t>
      </w:r>
      <w:r>
        <w:t xml:space="preserve"> </w:t>
      </w:r>
      <w:r>
        <w:t xml:space="preserve">keV,</w:t>
      </w:r>
      <w:r>
        <w:t xml:space="preserve"> </w:t>
      </w:r>
      <w:r>
        <w:t xml:space="preserve">rising</w:t>
      </w:r>
      <w:r>
        <w:t xml:space="preserve"> </w:t>
      </w:r>
      <w:r>
        <w:t xml:space="preserve">to</w:t>
      </w:r>
      <w:r>
        <w:t xml:space="preserve"> </w:t>
      </w:r>
      <w:r>
        <w:t xml:space="preserve">1.7</w:t>
      </w:r>
      <w:r>
        <w:t xml:space="preserve"> </w:t>
      </w:r>
      <w:r>
        <w:t xml:space="preserve">keV</w:t>
      </w:r>
      <w:r>
        <w:t xml:space="preserve"> </w:t>
      </w:r>
      <w:r>
        <w:t xml:space="preserve">in</w:t>
      </w:r>
      <w:r>
        <w:t xml:space="preserve"> </w:t>
      </w:r>
      <w:r>
        <w:t xml:space="preserve">electrochemically</w:t>
      </w:r>
      <w:r>
        <w:t xml:space="preserve"> </w:t>
      </w:r>
      <w:r>
        <w:t xml:space="preserve">loaded</w:t>
      </w:r>
      <w:r>
        <w:t xml:space="preserve"> </w:t>
      </w:r>
      <w:r>
        <w:t xml:space="preserve">PdD</w:t>
      </w:r>
      <w:r>
        <w:t xml:space="preserve"> </w:t>
      </w:r>
      <w:r>
        <w:t xml:space="preserve">(Karahadian</w:t>
      </w:r>
      <w:r>
        <w:t xml:space="preserve"> </w:t>
      </w:r>
      <w:r>
        <w:t xml:space="preserve">et</w:t>
      </w:r>
      <w:r>
        <w:t xml:space="preserve"> </w:t>
      </w:r>
      <w:r>
        <w:t xml:space="preserve">al. 2026),</w:t>
      </w:r>
      <w:r>
        <w:t xml:space="preserve"> </w:t>
      </w:r>
      <w:r>
        <w:t xml:space="preserve">far</w:t>
      </w:r>
      <w:r>
        <w:t xml:space="preserve"> </w:t>
      </w:r>
      <w:r>
        <w:t xml:space="preserve">above</w:t>
      </w:r>
      <w:r>
        <w:t xml:space="preserve"> </w:t>
      </w:r>
      <w:r>
        <w:t xml:space="preserve">the</w:t>
      </w:r>
      <w:r>
        <w:t xml:space="preserve"> </w:t>
      </w:r>
      <w:r>
        <w:t xml:space="preserve">~25</w:t>
      </w:r>
      <w:r>
        <w:t xml:space="preserve"> </w:t>
      </w:r>
      <w:r>
        <w:t xml:space="preserve">eV</w:t>
      </w:r>
      <w:r>
        <w:t xml:space="preserve"> </w:t>
      </w:r>
      <w:r>
        <w:t xml:space="preserve">of</w:t>
      </w:r>
      <w:r>
        <w:t xml:space="preserve"> </w:t>
      </w:r>
      <w:r>
        <w:t xml:space="preserve">gas</w:t>
      </w:r>
      <w:r>
        <w:t xml:space="preserve"> </w:t>
      </w:r>
      <w:r>
        <w:t xml:space="preserve">targets</w:t>
      </w:r>
      <w:r>
        <w:t xml:space="preserve"> </w:t>
      </w:r>
      <w:r>
        <w:t xml:space="preserve">and</w:t>
      </w:r>
      <w:r>
        <w:t xml:space="preserve"> </w:t>
      </w:r>
      <w:r>
        <w:t xml:space="preserve">atomic</w:t>
      </w:r>
      <w:r>
        <w:t xml:space="preserve"> </w:t>
      </w:r>
      <w:r>
        <w:t xml:space="preserve">theory.</w:t>
      </w:r>
      <w:r>
        <w:t xml:space="preserve"> </w:t>
      </w:r>
      <w:r>
        <w:t xml:space="preserve">These</w:t>
      </w:r>
      <w:r>
        <w:t xml:space="preserve"> </w:t>
      </w:r>
      <w:r>
        <w:t xml:space="preserve">are</w:t>
      </w:r>
      <w:r>
        <w:t xml:space="preserve"> </w:t>
      </w:r>
      <w:r>
        <w:t xml:space="preserve">beam</w:t>
      </w:r>
      <w:r>
        <w:t xml:space="preserve"> </w:t>
      </w:r>
      <w:r>
        <w:t xml:space="preserve">measurements:</w:t>
      </w:r>
      <w:r>
        <w:t xml:space="preserve"> </w:t>
      </w:r>
      <w:r>
        <w:t xml:space="preserve">they</w:t>
      </w:r>
      <w:r>
        <w:t xml:space="preserve"> </w:t>
      </w:r>
      <w:r>
        <w:t xml:space="preserve">probe</w:t>
      </w:r>
      <w:r>
        <w:t xml:space="preserve"> </w:t>
      </w:r>
      <w:r>
        <w:t xml:space="preserve">d–d</w:t>
      </w:r>
      <w:r>
        <w:t xml:space="preserve"> </w:t>
      </w:r>
      <w:r>
        <w:t xml:space="preserve">separations</w:t>
      </w:r>
      <w:r>
        <w:t xml:space="preserve"> </w:t>
      </w:r>
      <w:r>
        <w:t xml:space="preserve">below</w:t>
      </w:r>
      <w:r>
        <w:t xml:space="preserve"> </w:t>
      </w:r>
      <w:r>
        <w:t xml:space="preserve">~0.004</w:t>
      </w:r>
      <w:r>
        <w:t xml:space="preserve"> </w:t>
      </w:r>
      <w:r>
        <w:t xml:space="preserve">Å</w:t>
      </w:r>
      <w:r>
        <w:t xml:space="preserve"> </w:t>
      </w:r>
      <w:r>
        <w:t xml:space="preserve">at</w:t>
      </w:r>
      <w:r>
        <w:t xml:space="preserve"> </w:t>
      </w:r>
      <w:r>
        <w:t xml:space="preserve">keV</w:t>
      </w:r>
      <w:r>
        <w:t xml:space="preserve"> </w:t>
      </w:r>
      <w:r>
        <w:t xml:space="preserve">energies.</w:t>
      </w:r>
      <w:r>
        <w:t xml:space="preserve"> </w:t>
      </w:r>
      <w:r>
        <w:t xml:space="preserve">Whether</w:t>
      </w:r>
      <w:r>
        <w:t xml:space="preserve"> </w:t>
      </w:r>
      <w:r>
        <w:t xml:space="preserve">the</w:t>
      </w:r>
      <w:r>
        <w:t xml:space="preserve"> </w:t>
      </w:r>
      <w:r>
        <w:t xml:space="preserve">anomaly</w:t>
      </w:r>
      <w:r>
        <w:t xml:space="preserve"> </w:t>
      </w:r>
      <w:r>
        <w:t xml:space="preserve">also</w:t>
      </w:r>
      <w:r>
        <w:t xml:space="preserve"> </w:t>
      </w:r>
      <w:r>
        <w:t xml:space="preserve">acts</w:t>
      </w:r>
      <w:r>
        <w:t xml:space="preserve"> </w:t>
      </w:r>
      <w:r>
        <w:t xml:space="preserve">on</w:t>
      </w:r>
      <w:r>
        <w:t xml:space="preserve"> </w:t>
      </w:r>
      <w:r>
        <w:t xml:space="preserve">deuterons</w:t>
      </w:r>
      <w:r>
        <w:t xml:space="preserve"> </w:t>
      </w:r>
      <w:r>
        <w:rPr>
          <w:iCs/>
          <w:i/>
        </w:rPr>
        <w:t xml:space="preserve">at</w:t>
      </w:r>
      <w:r>
        <w:rPr>
          <w:iCs/>
          <w:i/>
        </w:rPr>
        <w:t xml:space="preserve"> </w:t>
      </w:r>
      <w:r>
        <w:rPr>
          <w:iCs/>
          <w:i/>
        </w:rPr>
        <w:t xml:space="preserve">rest</w:t>
      </w:r>
      <w:r>
        <w:t xml:space="preserve"> </w:t>
      </w:r>
      <w:r>
        <w:t xml:space="preserve">in</w:t>
      </w:r>
      <w:r>
        <w:t xml:space="preserve"> </w:t>
      </w:r>
      <w:r>
        <w:t xml:space="preserve">the</w:t>
      </w:r>
      <w:r>
        <w:t xml:space="preserve"> </w:t>
      </w:r>
      <w:r>
        <w:t xml:space="preserve">lattice</w:t>
      </w:r>
      <w:r>
        <w:t xml:space="preserve"> </w:t>
      </w:r>
      <w:r>
        <w:t xml:space="preserve">is</w:t>
      </w:r>
      <w:r>
        <w:t xml:space="preserve"> </w:t>
      </w:r>
      <w:r>
        <w:t xml:space="preserve">open,</w:t>
      </w:r>
      <w:r>
        <w:t xml:space="preserve"> </w:t>
      </w:r>
      <w:r>
        <w:t xml:space="preserve">and</w:t>
      </w:r>
      <w:r>
        <w:t xml:space="preserve"> </w:t>
      </w:r>
      <w:r>
        <w:t xml:space="preserve">is</w:t>
      </w:r>
      <w:r>
        <w:t xml:space="preserve"> </w:t>
      </w:r>
      <w:r>
        <w:t xml:space="preserve">what</w:t>
      </w:r>
      <w:r>
        <w:t xml:space="preserve"> </w:t>
      </w:r>
      <w:r>
        <w:t xml:space="preserve">a</w:t>
      </w:r>
      <w:r>
        <w:t xml:space="preserve"> </w:t>
      </w:r>
      <w:r>
        <w:t xml:space="preserve">room-temperature</w:t>
      </w:r>
      <w:r>
        <w:t xml:space="preserve"> </w:t>
      </w:r>
      <w:r>
        <w:t xml:space="preserve">fusion</w:t>
      </w:r>
      <w:r>
        <w:t xml:space="preserve"> </w:t>
      </w:r>
      <w:r>
        <w:t xml:space="preserve">effect</w:t>
      </w:r>
      <w:r>
        <w:t xml:space="preserve"> </w:t>
      </w:r>
      <w:r>
        <w:t xml:space="preserve">would</w:t>
      </w:r>
      <w:r>
        <w:t xml:space="preserve"> </w:t>
      </w:r>
      <w:r>
        <w:t xml:space="preserve">require.</w:t>
      </w:r>
      <w:r>
        <w:t xml:space="preserve"> </w:t>
      </w:r>
      <w:r>
        <w:t xml:space="preserve">We</w:t>
      </w:r>
      <w:r>
        <w:t xml:space="preserve"> </w:t>
      </w:r>
      <w:r>
        <w:t xml:space="preserve">answer</w:t>
      </w:r>
      <w:r>
        <w:t xml:space="preserve"> </w:t>
      </w:r>
      <w:r>
        <w:t xml:space="preserve">it</w:t>
      </w:r>
      <w:r>
        <w:t xml:space="preserve"> </w:t>
      </w:r>
      <w:r>
        <w:t xml:space="preserve">quantitatively.</w:t>
      </w:r>
      <w:r>
        <w:t xml:space="preserve"> </w:t>
      </w:r>
      <w:r>
        <w:t xml:space="preserve">A</w:t>
      </w:r>
      <w:r>
        <w:t xml:space="preserve"> </w:t>
      </w:r>
      <w:r>
        <w:t xml:space="preserve">log-grid</w:t>
      </w:r>
      <w:r>
        <w:t xml:space="preserve"> </w:t>
      </w:r>
      <w:r>
        <w:t xml:space="preserve">Numerov</w:t>
      </w:r>
      <w:r>
        <w:t xml:space="preserve"> </w:t>
      </w:r>
      <w:r>
        <w:t xml:space="preserve">solver</w:t>
      </w:r>
      <w:r>
        <w:t xml:space="preserve"> </w:t>
      </w:r>
      <w:r>
        <w:t xml:space="preserve">for</w:t>
      </w:r>
      <w:r>
        <w:t xml:space="preserve"> </w:t>
      </w:r>
      <w:r>
        <w:t xml:space="preserve">the</w:t>
      </w:r>
      <w:r>
        <w:t xml:space="preserve"> </w:t>
      </w:r>
      <w:r>
        <w:t xml:space="preserve">d–d</w:t>
      </w:r>
      <w:r>
        <w:t xml:space="preserve"> </w:t>
      </w:r>
      <w:r>
        <w:t xml:space="preserve">relative-motion</w:t>
      </w:r>
      <w:r>
        <w:t xml:space="preserve"> </w:t>
      </w:r>
      <w:r>
        <w:t xml:space="preserve">ground</w:t>
      </w:r>
      <w:r>
        <w:t xml:space="preserve"> </w:t>
      </w:r>
      <w:r>
        <w:t xml:space="preserve">state,</w:t>
      </w:r>
      <w:r>
        <w:t xml:space="preserve"> </w:t>
      </w:r>
      <w:r>
        <w:t xml:space="preserve">using</w:t>
      </w:r>
      <w:r>
        <w:t xml:space="preserve"> </w:t>
      </w:r>
      <w:r>
        <w:t xml:space="preserve">the</w:t>
      </w:r>
      <w:r>
        <w:t xml:space="preserve"> </w:t>
      </w:r>
      <w:r>
        <w:t xml:space="preserve">Pachucki</w:t>
      </w:r>
      <w:r>
        <w:t xml:space="preserve"> </w:t>
      </w:r>
      <w:r>
        <w:t xml:space="preserve">Born–Oppenheimer</w:t>
      </w:r>
      <w:r>
        <w:t xml:space="preserve"> </w:t>
      </w:r>
      <w:r>
        <w:t xml:space="preserve">potential,</w:t>
      </w:r>
      <w:r>
        <w:t xml:space="preserve"> </w:t>
      </w:r>
      <w:r>
        <w:t xml:space="preserve">reproduces</w:t>
      </w:r>
      <w:r>
        <w:t xml:space="preserve"> </w:t>
      </w:r>
      <w:r>
        <w:t xml:space="preserve">the</w:t>
      </w:r>
      <w:r>
        <w:t xml:space="preserve"> </w:t>
      </w:r>
      <w:r>
        <w:t xml:space="preserve">D₂,</w:t>
      </w:r>
      <w:r>
        <w:t xml:space="preserve"> </w:t>
      </w:r>
      <w:r>
        <w:t xml:space="preserve">HD</w:t>
      </w:r>
      <w:r>
        <w:t xml:space="preserve"> </w:t>
      </w:r>
      <w:r>
        <w:t xml:space="preserve">and</w:t>
      </w:r>
      <w:r>
        <w:t xml:space="preserve"> </w:t>
      </w:r>
      <w:r>
        <w:t xml:space="preserve">H₂</w:t>
      </w:r>
      <w:r>
        <w:t xml:space="preserve"> </w:t>
      </w:r>
      <w:r>
        <w:t xml:space="preserve">binding</w:t>
      </w:r>
      <w:r>
        <w:t xml:space="preserve"> </w:t>
      </w:r>
      <w:r>
        <w:t xml:space="preserve">energies</w:t>
      </w:r>
      <w:r>
        <w:t xml:space="preserve"> </w:t>
      </w:r>
      <w:r>
        <w:t xml:space="preserve">to</w:t>
      </w:r>
      <w:r>
        <w:t xml:space="preserve"> </w:t>
      </w:r>
      <w:r>
        <w:t xml:space="preserve">≤0.001</w:t>
      </w:r>
      <w:r>
        <w:t xml:space="preserve"> </w:t>
      </w:r>
      <w:r>
        <w:t xml:space="preserve">eV</w:t>
      </w:r>
      <w:r>
        <w:t xml:space="preserve"> </w:t>
      </w:r>
      <w:r>
        <w:t xml:space="preserve">and</w:t>
      </w:r>
      <w:r>
        <w:t xml:space="preserve"> </w:t>
      </w:r>
      <w:r>
        <w:t xml:space="preserve">the</w:t>
      </w:r>
      <w:r>
        <w:t xml:space="preserve"> </w:t>
      </w:r>
      <w:r>
        <w:t xml:space="preserve">published</w:t>
      </w:r>
      <w:r>
        <w:t xml:space="preserve"> </w:t>
      </w:r>
      <w:r>
        <w:t xml:space="preserve">molecular</w:t>
      </w:r>
      <w:r>
        <w:t xml:space="preserve"> </w:t>
      </w:r>
      <w:r>
        <w:t xml:space="preserve">fusion</w:t>
      </w:r>
      <w:r>
        <w:t xml:space="preserve"> </w:t>
      </w:r>
      <w:r>
        <w:t xml:space="preserve">rates.</w:t>
      </w:r>
      <w:r>
        <w:t xml:space="preserve"> </w:t>
      </w:r>
      <w:r>
        <w:t xml:space="preserve">We</w:t>
      </w:r>
      <w:r>
        <w:t xml:space="preserve"> </w:t>
      </w:r>
      <w:r>
        <w:t xml:space="preserve">represent</w:t>
      </w:r>
      <w:r>
        <w:t xml:space="preserve"> </w:t>
      </w:r>
      <w:r>
        <w:t xml:space="preserve">the</w:t>
      </w:r>
      <w:r>
        <w:t xml:space="preserve"> </w:t>
      </w:r>
      <w:r>
        <w:t xml:space="preserve">anomalous</w:t>
      </w:r>
      <w:r>
        <w:t xml:space="preserve"> </w:t>
      </w:r>
      <w:r>
        <w:t xml:space="preserve">screening</w:t>
      </w:r>
      <w:r>
        <w:t xml:space="preserve"> </w:t>
      </w:r>
      <w:r>
        <w:t xml:space="preserve">as</w:t>
      </w:r>
      <w:r>
        <w:t xml:space="preserve"> </w:t>
      </w:r>
      <w:r>
        <w:t xml:space="preserve">an</w:t>
      </w:r>
      <w:r>
        <w:t xml:space="preserve"> </w:t>
      </w:r>
      <w:r>
        <w:t xml:space="preserve">extra</w:t>
      </w:r>
      <w:r>
        <w:t xml:space="preserve"> </w:t>
      </w:r>
      <w:r>
        <w:t xml:space="preserve">potential</w:t>
      </w:r>
      <w:r>
        <w:t xml:space="preserve"> </w:t>
      </w:r>
      <w:r>
        <w:t xml:space="preserve">-Δ</w:t>
      </w:r>
      <w:r>
        <w:t xml:space="preserve"> </w:t>
      </w:r>
      <w:r>
        <w:t xml:space="preserve">U</w:t>
      </w:r>
      <w:r>
        <w:t xml:space="preserve"> </w:t>
      </w:r>
      <w:r>
        <w:t xml:space="preserve">g(R/ℓ)</w:t>
      </w:r>
      <w:r>
        <w:t xml:space="preserve"> </w:t>
      </w:r>
      <w:r>
        <w:t xml:space="preserve">of</w:t>
      </w:r>
      <w:r>
        <w:t xml:space="preserve"> </w:t>
      </w:r>
      <w:r>
        <w:t xml:space="preserve">unknown</w:t>
      </w:r>
      <w:r>
        <w:t xml:space="preserve"> </w:t>
      </w:r>
      <w:r>
        <w:t xml:space="preserve">range</w:t>
      </w:r>
      <w:r>
        <w:t xml:space="preserve"> </w:t>
      </w:r>
      <w:r>
        <w:t xml:space="preserve">ℓ,</w:t>
      </w:r>
      <w:r>
        <w:t xml:space="preserve"> </w:t>
      </w:r>
      <w:r>
        <w:t xml:space="preserve">with</w:t>
      </w:r>
      <w:r>
        <w:t xml:space="preserve"> </w:t>
      </w:r>
      <w:r>
        <w:t xml:space="preserve">four</w:t>
      </w:r>
      <w:r>
        <w:t xml:space="preserve"> </w:t>
      </w:r>
      <w:r>
        <w:t xml:space="preserve">profile</w:t>
      </w:r>
      <w:r>
        <w:t xml:space="preserve"> </w:t>
      </w:r>
      <w:r>
        <w:t xml:space="preserve">shapes,</w:t>
      </w:r>
      <w:r>
        <w:t xml:space="preserve"> </w:t>
      </w:r>
      <w:r>
        <w:t xml:space="preserve">its</w:t>
      </w:r>
      <w:r>
        <w:t xml:space="preserve"> </w:t>
      </w:r>
      <w:r>
        <w:t xml:space="preserve">strength</w:t>
      </w:r>
      <w:r>
        <w:t xml:space="preserve"> </w:t>
      </w:r>
      <w:r>
        <w:t xml:space="preserve">fixed</w:t>
      </w:r>
      <w:r>
        <w:t xml:space="preserve"> </w:t>
      </w:r>
      <w:r>
        <w:t xml:space="preserve">by</w:t>
      </w:r>
      <w:r>
        <w:t xml:space="preserve"> </w:t>
      </w:r>
      <w:r>
        <w:t xml:space="preserve">matching</w:t>
      </w:r>
      <w:r>
        <w:t xml:space="preserve"> </w:t>
      </w:r>
      <w:r>
        <w:t xml:space="preserve">the</w:t>
      </w:r>
      <w:r>
        <w:t xml:space="preserve"> </w:t>
      </w:r>
      <w:r>
        <w:t xml:space="preserve">measured</w:t>
      </w:r>
      <w:r>
        <w:t xml:space="preserve"> </w:t>
      </w:r>
      <w:r>
        <w:t xml:space="preserve">U</w:t>
      </w:r>
      <w:r>
        <w:rPr>
          <w:vertAlign w:val="subscript"/>
        </w:rPr>
        <w:t xml:space="preserve">e</w:t>
      </w:r>
      <w:r>
        <w:t xml:space="preserve"> </w:t>
      </w:r>
      <w:r>
        <w:t xml:space="preserve">at</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and</w:t>
      </w:r>
      <w:r>
        <w:t xml:space="preserve"> </w:t>
      </w:r>
      <w:r>
        <w:t xml:space="preserve">compute</w:t>
      </w:r>
      <w:r>
        <w:t xml:space="preserve"> </w:t>
      </w:r>
      <w:r>
        <w:t xml:space="preserve">the</w:t>
      </w:r>
      <w:r>
        <w:t xml:space="preserve"> </w:t>
      </w:r>
      <w:r>
        <w:t xml:space="preserve">fusion</w:t>
      </w:r>
      <w:r>
        <w:t xml:space="preserve"> </w:t>
      </w:r>
      <w:r>
        <w:t xml:space="preserve">rate</w:t>
      </w:r>
      <w:r>
        <w:t xml:space="preserve"> </w:t>
      </w:r>
      <w:r>
        <w:t xml:space="preserve">of</w:t>
      </w:r>
      <w:r>
        <w:t xml:space="preserve"> </w:t>
      </w:r>
      <w:r>
        <w:t xml:space="preserve">lattice</w:t>
      </w:r>
      <w:r>
        <w:t xml:space="preserve"> </w:t>
      </w:r>
      <w:r>
        <w:t xml:space="preserve">deuteron</w:t>
      </w:r>
      <w:r>
        <w:t xml:space="preserve"> </w:t>
      </w:r>
      <w:r>
        <w:t xml:space="preserve">pairs</w:t>
      </w:r>
      <w:r>
        <w:t xml:space="preserve"> </w:t>
      </w:r>
      <w:r>
        <w:t xml:space="preserve">as</w:t>
      </w:r>
      <w:r>
        <w:t xml:space="preserve"> </w:t>
      </w:r>
      <w:r>
        <w:t xml:space="preserve">a</w:t>
      </w:r>
      <w:r>
        <w:t xml:space="preserve"> </w:t>
      </w:r>
      <w:r>
        <w:t xml:space="preserve">function</w:t>
      </w:r>
      <w:r>
        <w:t xml:space="preserve"> </w:t>
      </w:r>
      <w:r>
        <w:t xml:space="preserve">of</w:t>
      </w:r>
      <w:r>
        <w:t xml:space="preserve"> </w:t>
      </w:r>
      <w:r>
        <w:t xml:space="preserve">ℓ.</w:t>
      </w:r>
      <w:r>
        <w:t xml:space="preserve"> </w:t>
      </w:r>
      <w:r>
        <w:t xml:space="preserve">The</w:t>
      </w:r>
      <w:r>
        <w:t xml:space="preserve"> </w:t>
      </w:r>
      <w:r>
        <w:t xml:space="preserve">rate</w:t>
      </w:r>
      <w:r>
        <w:t xml:space="preserve"> </w:t>
      </w:r>
      <w:r>
        <w:t xml:space="preserve">stays</w:t>
      </w:r>
      <w:r>
        <w:t xml:space="preserve"> </w:t>
      </w:r>
      <w:r>
        <w:t xml:space="preserve">below</w:t>
      </w:r>
      <w:r>
        <w:t xml:space="preserve"> </w:t>
      </w:r>
      <w:r>
        <w:t xml:space="preserve">10⁻¹⁰⁰</w:t>
      </w:r>
      <w:r>
        <w:t xml:space="preserve"> </w:t>
      </w:r>
      <w:r>
        <w:t xml:space="preserve">s⁻¹</w:t>
      </w:r>
      <w:r>
        <w:t xml:space="preserve"> </w:t>
      </w:r>
      <w:r>
        <w:t xml:space="preserve">while</w:t>
      </w:r>
      <w:r>
        <w:t xml:space="preserve"> </w:t>
      </w:r>
      <w:r>
        <w:t xml:space="preserve">the</w:t>
      </w:r>
      <w:r>
        <w:t xml:space="preserve"> </w:t>
      </w:r>
      <w:r>
        <w:t xml:space="preserve">screening</w:t>
      </w:r>
      <w:r>
        <w:t xml:space="preserve"> </w:t>
      </w:r>
      <w:r>
        <w:t xml:space="preserve">is</w:t>
      </w:r>
      <w:r>
        <w:t xml:space="preserve"> </w:t>
      </w:r>
      <w:r>
        <w:t xml:space="preserve">short-ranged,</w:t>
      </w:r>
      <w:r>
        <w:t xml:space="preserve"> </w:t>
      </w:r>
      <w:r>
        <w:t xml:space="preserve">then</w:t>
      </w:r>
      <w:r>
        <w:t xml:space="preserve"> </w:t>
      </w:r>
      <w:r>
        <w:t xml:space="preserve">jumps</w:t>
      </w:r>
      <w:r>
        <w:t xml:space="preserve"> </w:t>
      </w:r>
      <w:r>
        <w:t xml:space="preserve">when</w:t>
      </w:r>
      <w:r>
        <w:t xml:space="preserve"> </w:t>
      </w:r>
      <w:r>
        <w:t xml:space="preserve">the</w:t>
      </w:r>
      <w:r>
        <w:t xml:space="preserve"> </w:t>
      </w:r>
      <w:r>
        <w:t xml:space="preserve">extra</w:t>
      </w:r>
      <w:r>
        <w:t xml:space="preserve"> </w:t>
      </w:r>
      <w:r>
        <w:t xml:space="preserve">attraction</w:t>
      </w:r>
      <w:r>
        <w:t xml:space="preserve"> </w:t>
      </w:r>
      <w:r>
        <w:t xml:space="preserve">binds</w:t>
      </w:r>
      <w:r>
        <w:t xml:space="preserve"> </w:t>
      </w:r>
      <w:r>
        <w:t xml:space="preserve">a</w:t>
      </w:r>
      <w:r>
        <w:t xml:space="preserve"> </w:t>
      </w:r>
      <w:r>
        <w:t xml:space="preserve">new</w:t>
      </w:r>
      <w:r>
        <w:t xml:space="preserve"> </w:t>
      </w:r>
      <w:r>
        <w:t xml:space="preserve">d–d</w:t>
      </w:r>
      <w:r>
        <w:t xml:space="preserve"> </w:t>
      </w:r>
      <w:r>
        <w:t xml:space="preserve">state</w:t>
      </w:r>
      <w:r>
        <w:t xml:space="preserve"> </w:t>
      </w:r>
      <w:r>
        <w:t xml:space="preserve">at</w:t>
      </w:r>
      <w:r>
        <w:t xml:space="preserve"> </w:t>
      </w:r>
      <w:r>
        <w:t xml:space="preserve">0.07–0.24</w:t>
      </w:r>
      <w:r>
        <w:t xml:space="preserve"> </w:t>
      </w:r>
      <w:r>
        <w:t xml:space="preserve">Å.</w:t>
      </w:r>
      <w:r>
        <w:t xml:space="preserve"> </w:t>
      </w:r>
      <w:r>
        <w:rPr>
          <w:bCs/>
          <w:b/>
        </w:rPr>
        <w:t xml:space="preserve">(A)</w:t>
      </w:r>
      <w:r>
        <w:t xml:space="preserve"> </w:t>
      </w:r>
      <w:r>
        <w:t xml:space="preserve">Requiring</w:t>
      </w:r>
      <w:r>
        <w:t xml:space="preserve"> </w:t>
      </w:r>
      <w:r>
        <w:t xml:space="preserve">consistency</w:t>
      </w:r>
      <w:r>
        <w:t xml:space="preserve"> </w:t>
      </w:r>
      <w:r>
        <w:t xml:space="preserve">with</w:t>
      </w:r>
      <w:r>
        <w:t xml:space="preserve"> </w:t>
      </w:r>
      <w:r>
        <w:t xml:space="preserve">the</w:t>
      </w:r>
      <w:r>
        <w:t xml:space="preserve"> </w:t>
      </w:r>
      <w:r>
        <w:t xml:space="preserve">null</w:t>
      </w:r>
      <w:r>
        <w:t xml:space="preserve"> </w:t>
      </w:r>
      <w:r>
        <w:t xml:space="preserve">neutron</w:t>
      </w:r>
      <w:r>
        <w:t xml:space="preserve"> </w:t>
      </w:r>
      <w:r>
        <w:t xml:space="preserve">limit</w:t>
      </w:r>
      <w:r>
        <w:t xml:space="preserve"> </w:t>
      </w:r>
      <w:r>
        <w:t xml:space="preserve">for</w:t>
      </w:r>
      <w:r>
        <w:t xml:space="preserve"> </w:t>
      </w:r>
      <w:r>
        <w:t xml:space="preserve">Pd</w:t>
      </w:r>
      <w:r>
        <w:t xml:space="preserve"> </w:t>
      </w:r>
      <w:r>
        <w:t xml:space="preserve">and</w:t>
      </w:r>
      <w:r>
        <w:t xml:space="preserve"> </w:t>
      </w:r>
      <w:r>
        <w:t xml:space="preserve">Ti</w:t>
      </w:r>
      <w:r>
        <w:t xml:space="preserve"> </w:t>
      </w:r>
      <w:r>
        <w:t xml:space="preserve">at</w:t>
      </w:r>
      <w:r>
        <w:t xml:space="preserve"> </w:t>
      </w:r>
      <w:r>
        <w:t xml:space="preserve">rest</w:t>
      </w:r>
      <w:r>
        <w:t xml:space="preserve"> </w:t>
      </w:r>
      <w:r>
        <w:t xml:space="preserve">(&lt;2×10⁻²⁶</w:t>
      </w:r>
      <w:r>
        <w:t xml:space="preserve"> </w:t>
      </w:r>
      <w:r>
        <w:t xml:space="preserve">s⁻¹</w:t>
      </w:r>
      <w:r>
        <w:t xml:space="preserve"> </w:t>
      </w:r>
      <w:r>
        <w:t xml:space="preserve">per</w:t>
      </w:r>
      <w:r>
        <w:t xml:space="preserve"> </w:t>
      </w:r>
      <w:r>
        <w:t xml:space="preserve">pair,</w:t>
      </w:r>
      <w:r>
        <w:t xml:space="preserve"> </w:t>
      </w:r>
      <w:r>
        <w:t xml:space="preserve">1990)</w:t>
      </w:r>
      <w:r>
        <w:t xml:space="preserve"> </w:t>
      </w:r>
      <w:r>
        <w:t xml:space="preserve">bounds</w:t>
      </w:r>
      <w:r>
        <w:t xml:space="preserve"> </w:t>
      </w:r>
      <w:r>
        <w:t xml:space="preserve">the</w:t>
      </w:r>
      <w:r>
        <w:t xml:space="preserve"> </w:t>
      </w:r>
      <w:r>
        <w:t xml:space="preserve">range</w:t>
      </w:r>
      <w:r>
        <w:t xml:space="preserve"> </w:t>
      </w:r>
      <w:r>
        <w:t xml:space="preserve">to</w:t>
      </w:r>
      <w:r>
        <w:t xml:space="preserve"> </w:t>
      </w:r>
      <w:r>
        <w:rPr>
          <w:bCs/>
          <w:b/>
        </w:rPr>
        <w:t xml:space="preserve">≈0.003–0.3</w:t>
      </w:r>
      <w:r>
        <w:rPr>
          <w:bCs/>
          <w:b/>
        </w:rPr>
        <w:t xml:space="preserve"> </w:t>
      </w:r>
      <w:r>
        <w:rPr>
          <w:bCs/>
          <w:b/>
        </w:rPr>
        <w:t xml:space="preserve">Å</w:t>
      </w:r>
      <w:r>
        <w:t xml:space="preserve"> </w:t>
      </w:r>
      <w:r>
        <w:t xml:space="preserve">across</w:t>
      </w:r>
      <w:r>
        <w:t xml:space="preserve"> </w:t>
      </w:r>
      <w:r>
        <w:t xml:space="preserve">112</w:t>
      </w:r>
      <w:r>
        <w:t xml:space="preserve"> </w:t>
      </w:r>
      <w:r>
        <w:t xml:space="preserve">model</w:t>
      </w:r>
      <w:r>
        <w:t xml:space="preserve"> </w:t>
      </w:r>
      <w:r>
        <w:t xml:space="preserve">variants</w:t>
      </w:r>
      <w:r>
        <w:t xml:space="preserve"> </w:t>
      </w:r>
      <w:r>
        <w:t xml:space="preserve">(profile</w:t>
      </w:r>
      <w:r>
        <w:t xml:space="preserve"> </w:t>
      </w:r>
      <w:r>
        <w:t xml:space="preserve">shape,</w:t>
      </w:r>
      <w:r>
        <w:t xml:space="preserve"> </w:t>
      </w:r>
      <w:r>
        <w:t xml:space="preserve">lattice</w:t>
      </w:r>
      <w:r>
        <w:t xml:space="preserve"> </w:t>
      </w:r>
      <w:r>
        <w:t xml:space="preserve">model,</w:t>
      </w:r>
      <w:r>
        <w:t xml:space="preserve"> </w:t>
      </w:r>
      <w:r>
        <w:t xml:space="preserve">D–D</w:t>
      </w:r>
      <w:r>
        <w:t xml:space="preserve"> </w:t>
      </w:r>
      <w:r>
        <w:t xml:space="preserve">spacing</w:t>
      </w:r>
      <w:r>
        <w:t xml:space="preserve"> </w:t>
      </w:r>
      <w:r>
        <w:t xml:space="preserve">0.94–2.75</w:t>
      </w:r>
      <w:r>
        <w:t xml:space="preserve"> </w:t>
      </w:r>
      <w:r>
        <w:t xml:space="preserve">Å,</w:t>
      </w:r>
      <w:r>
        <w:t xml:space="preserve"> </w:t>
      </w:r>
      <w:r>
        <w:t xml:space="preserve">U</w:t>
      </w:r>
      <w:r>
        <w:rPr>
          <w:vertAlign w:val="subscript"/>
        </w:rPr>
        <w:t xml:space="preserve">e</w:t>
      </w:r>
      <w:r>
        <w:t xml:space="preserve"> </w:t>
      </w:r>
      <w:r>
        <w:t xml:space="preserve">=</w:t>
      </w:r>
      <w:r>
        <w:t xml:space="preserve"> </w:t>
      </w:r>
      <w:r>
        <w:t xml:space="preserve">0.17–2.0</w:t>
      </w:r>
      <w:r>
        <w:t xml:space="preserve"> </w:t>
      </w:r>
      <w:r>
        <w:t xml:space="preserve">keV).</w:t>
      </w:r>
      <w:r>
        <w:t xml:space="preserve"> </w:t>
      </w:r>
      <w:r>
        <w:t xml:space="preserve">For</w:t>
      </w:r>
      <w:r>
        <w:t xml:space="preserve"> </w:t>
      </w:r>
      <w:r>
        <w:t xml:space="preserve">keV-scale</w:t>
      </w:r>
      <w:r>
        <w:t xml:space="preserve"> </w:t>
      </w:r>
      <w:r>
        <w:t xml:space="preserve">screening</w:t>
      </w:r>
      <w:r>
        <w:t xml:space="preserve"> </w:t>
      </w:r>
      <w:r>
        <w:t xml:space="preserve">with</w:t>
      </w:r>
      <w:r>
        <w:t xml:space="preserve"> </w:t>
      </w:r>
      <w:r>
        <w:t xml:space="preserve">a</w:t>
      </w:r>
      <w:r>
        <w:t xml:space="preserve"> </w:t>
      </w:r>
      <w:r>
        <w:t xml:space="preserve">long-tailed</w:t>
      </w:r>
      <w:r>
        <w:t xml:space="preserve"> </w:t>
      </w:r>
      <w:r>
        <w:t xml:space="preserve">profile</w:t>
      </w:r>
      <w:r>
        <w:t xml:space="preserve"> </w:t>
      </w:r>
      <w:r>
        <w:t xml:space="preserve">the</w:t>
      </w:r>
      <w:r>
        <w:t xml:space="preserve"> </w:t>
      </w:r>
      <w:r>
        <w:t xml:space="preserve">allowed</w:t>
      </w:r>
      <w:r>
        <w:t xml:space="preserve"> </w:t>
      </w:r>
      <w:r>
        <w:t xml:space="preserve">range</w:t>
      </w:r>
      <w:r>
        <w:t xml:space="preserve"> </w:t>
      </w:r>
      <w:r>
        <w:t xml:space="preserve">collapses</w:t>
      </w:r>
      <w:r>
        <w:t xml:space="preserve"> </w:t>
      </w:r>
      <w:r>
        <w:t xml:space="preserve">to</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itself.</w:t>
      </w:r>
      <w:r>
        <w:t xml:space="preserve"> </w:t>
      </w:r>
      <w:r>
        <w:t xml:space="preserve">The</w:t>
      </w:r>
      <w:r>
        <w:t xml:space="preserve"> </w:t>
      </w:r>
      <w:r>
        <w:t xml:space="preserve">bound</w:t>
      </w:r>
      <w:r>
        <w:t xml:space="preserve"> </w:t>
      </w:r>
      <w:r>
        <w:t xml:space="preserve">is</w:t>
      </w:r>
      <w:r>
        <w:t xml:space="preserve"> </w:t>
      </w:r>
      <w:r>
        <w:t xml:space="preserve">unchanged</w:t>
      </w:r>
      <w:r>
        <w:t xml:space="preserve"> </w:t>
      </w:r>
      <w:r>
        <w:t xml:space="preserve">when</w:t>
      </w:r>
      <w:r>
        <w:t xml:space="preserve"> </w:t>
      </w:r>
      <w:r>
        <w:t xml:space="preserve">the</w:t>
      </w:r>
      <w:r>
        <w:t xml:space="preserve"> </w:t>
      </w:r>
      <w:r>
        <w:t xml:space="preserve">screening</w:t>
      </w:r>
      <w:r>
        <w:t xml:space="preserve"> </w:t>
      </w:r>
      <w:r>
        <w:t xml:space="preserve">strength</w:t>
      </w:r>
      <w:r>
        <w:t xml:space="preserve"> </w:t>
      </w:r>
      <w:r>
        <w:t xml:space="preserve">is</w:t>
      </w:r>
      <w:r>
        <w:t xml:space="preserve"> </w:t>
      </w:r>
      <w:r>
        <w:t xml:space="preserve">instead</w:t>
      </w:r>
      <w:r>
        <w:t xml:space="preserve"> </w:t>
      </w:r>
      <w:r>
        <w:t xml:space="preserve">fitted</w:t>
      </w:r>
      <w:r>
        <w:t xml:space="preserve"> </w:t>
      </w:r>
      <w:r>
        <w:t xml:space="preserve">through</w:t>
      </w:r>
      <w:r>
        <w:t xml:space="preserve"> </w:t>
      </w:r>
      <w:r>
        <w:t xml:space="preserve">the</w:t>
      </w:r>
      <w:r>
        <w:t xml:space="preserve"> </w:t>
      </w:r>
      <w:r>
        <w:t xml:space="preserve">published</w:t>
      </w:r>
      <w:r>
        <w:t xml:space="preserve"> </w:t>
      </w:r>
      <w:r>
        <w:t xml:space="preserve">thick-target</w:t>
      </w:r>
      <w:r>
        <w:t xml:space="preserve"> </w:t>
      </w:r>
      <w:r>
        <w:t xml:space="preserve">procedure.</w:t>
      </w:r>
      <w:r>
        <w:t xml:space="preserve"> </w:t>
      </w:r>
      <w:r>
        <w:t xml:space="preserve">A</w:t>
      </w:r>
      <w:r>
        <w:t xml:space="preserve"> </w:t>
      </w:r>
      <w:r>
        <w:t xml:space="preserve">near-surface</w:t>
      </w:r>
      <w:r>
        <w:t xml:space="preserve"> </w:t>
      </w:r>
      <w:r>
        <w:t xml:space="preserve">deuterium</w:t>
      </w:r>
      <w:r>
        <w:t xml:space="preserve"> </w:t>
      </w:r>
      <w:r>
        <w:t xml:space="preserve">excess</w:t>
      </w:r>
      <w:r>
        <w:t xml:space="preserve"> </w:t>
      </w:r>
      <w:r>
        <w:t xml:space="preserve">can</w:t>
      </w:r>
      <w:r>
        <w:t xml:space="preserve"> </w:t>
      </w:r>
      <w:r>
        <w:t xml:space="preserve">fake</w:t>
      </w:r>
      <w:r>
        <w:t xml:space="preserve"> </w:t>
      </w:r>
      <w:r>
        <w:t xml:space="preserve">at</w:t>
      </w:r>
      <w:r>
        <w:t xml:space="preserve"> </w:t>
      </w:r>
      <w:r>
        <w:t xml:space="preserve">most</w:t>
      </w:r>
      <w:r>
        <w:t xml:space="preserve"> </w:t>
      </w:r>
      <w:r>
        <w:t xml:space="preserve">0.28–0.44</w:t>
      </w:r>
      <w:r>
        <w:t xml:space="preserve"> </w:t>
      </w:r>
      <w:r>
        <w:t xml:space="preserve">keV,</w:t>
      </w:r>
      <w:r>
        <w:t xml:space="preserve"> </w:t>
      </w:r>
      <w:r>
        <w:t xml:space="preserve">so</w:t>
      </w:r>
      <w:r>
        <w:t xml:space="preserve"> </w:t>
      </w:r>
      <w:r>
        <w:t xml:space="preserve">the</w:t>
      </w:r>
      <w:r>
        <w:t xml:space="preserve"> </w:t>
      </w:r>
      <w:r>
        <w:t xml:space="preserve">reported</w:t>
      </w:r>
      <w:r>
        <w:t xml:space="preserve"> </w:t>
      </w:r>
      <w:r>
        <w:t xml:space="preserve">1.7</w:t>
      </w:r>
      <w:r>
        <w:t xml:space="preserve"> </w:t>
      </w:r>
      <w:r>
        <w:t xml:space="preserve">keV</w:t>
      </w:r>
      <w:r>
        <w:t xml:space="preserve"> </w:t>
      </w:r>
      <w:r>
        <w:t xml:space="preserve">is</w:t>
      </w:r>
      <w:r>
        <w:t xml:space="preserve"> </w:t>
      </w:r>
      <w:r>
        <w:t xml:space="preserve">not</w:t>
      </w:r>
      <w:r>
        <w:t xml:space="preserve"> </w:t>
      </w:r>
      <w:r>
        <w:t xml:space="preserve">a</w:t>
      </w:r>
      <w:r>
        <w:t xml:space="preserve"> </w:t>
      </w:r>
      <w:r>
        <w:t xml:space="preserve">depth-profile</w:t>
      </w:r>
      <w:r>
        <w:t xml:space="preserve"> </w:t>
      </w:r>
      <w:r>
        <w:t xml:space="preserve">artifact.</w:t>
      </w:r>
      <w:r>
        <w:t xml:space="preserve"> </w:t>
      </w:r>
      <w:r>
        <w:rPr>
          <w:bCs/>
          <w:b/>
        </w:rPr>
        <w:t xml:space="preserve">(B)</w:t>
      </w:r>
      <w:r>
        <w:t xml:space="preserve"> </w:t>
      </w:r>
      <w:r>
        <w:t xml:space="preserve">In</w:t>
      </w:r>
      <w:r>
        <w:t xml:space="preserve"> </w:t>
      </w:r>
      <w:r>
        <w:t xml:space="preserve">every</w:t>
      </w:r>
      <w:r>
        <w:t xml:space="preserve"> </w:t>
      </w:r>
      <w:r>
        <w:t xml:space="preserve">variant,</w:t>
      </w:r>
      <w:r>
        <w:t xml:space="preserve"> </w:t>
      </w:r>
      <w:r>
        <w:t xml:space="preserve">rates</w:t>
      </w:r>
      <w:r>
        <w:t xml:space="preserve"> </w:t>
      </w:r>
      <w:r>
        <w:t xml:space="preserve">approaching</w:t>
      </w:r>
      <w:r>
        <w:t xml:space="preserve"> </w:t>
      </w:r>
      <w:r>
        <w:t xml:space="preserve">1</w:t>
      </w:r>
      <w:r>
        <w:t xml:space="preserve"> </w:t>
      </w:r>
      <w:r>
        <w:t xml:space="preserve">W</w:t>
      </w:r>
      <w:r>
        <w:t xml:space="preserve"> </w:t>
      </w:r>
      <w:r>
        <w:t xml:space="preserve">cm⁻³</w:t>
      </w:r>
      <w:r>
        <w:t xml:space="preserve"> </w:t>
      </w:r>
      <w:r>
        <w:t xml:space="preserve">occur</w:t>
      </w:r>
      <w:r>
        <w:t xml:space="preserve"> </w:t>
      </w:r>
      <w:r>
        <w:t xml:space="preserve">only</w:t>
      </w:r>
      <w:r>
        <w:t xml:space="preserve"> </w:t>
      </w:r>
      <w:r>
        <w:t xml:space="preserve">at</w:t>
      </w:r>
      <w:r>
        <w:t xml:space="preserve"> </w:t>
      </w:r>
      <w:r>
        <w:t xml:space="preserve">ranges</w:t>
      </w:r>
      <w:r>
        <w:t xml:space="preserve"> </w:t>
      </w:r>
      <w:r>
        <w:t xml:space="preserve">already</w:t>
      </w:r>
      <w:r>
        <w:t xml:space="preserve"> </w:t>
      </w:r>
      <w:r>
        <w:t xml:space="preserve">excluded</w:t>
      </w:r>
      <w:r>
        <w:t xml:space="preserve"> </w:t>
      </w:r>
      <w:r>
        <w:t xml:space="preserve">by</w:t>
      </w:r>
      <w:r>
        <w:t xml:space="preserve"> </w:t>
      </w:r>
      <w:r>
        <w:t xml:space="preserve">the</w:t>
      </w:r>
      <w:r>
        <w:t xml:space="preserve"> </w:t>
      </w:r>
      <w:r>
        <w:t xml:space="preserve">neutron</w:t>
      </w:r>
      <w:r>
        <w:t xml:space="preserve"> </w:t>
      </w:r>
      <w:r>
        <w:t xml:space="preserve">limit:</w:t>
      </w:r>
      <w:r>
        <w:t xml:space="preserve"> </w:t>
      </w:r>
      <w:r>
        <w:rPr>
          <w:iCs/>
          <w:i/>
        </w:rPr>
        <w:t xml:space="preserve">for</w:t>
      </w:r>
      <w:r>
        <w:rPr>
          <w:iCs/>
          <w:i/>
        </w:rPr>
        <w:t xml:space="preserve"> </w:t>
      </w:r>
      <w:r>
        <w:rPr>
          <w:iCs/>
          <w:i/>
        </w:rPr>
        <w:t xml:space="preserve">screening-plus-confinement</w:t>
      </w:r>
      <w:r>
        <w:rPr>
          <w:iCs/>
          <w:i/>
        </w:rPr>
        <w:t xml:space="preserve"> </w:t>
      </w:r>
      <w:r>
        <w:rPr>
          <w:iCs/>
          <w:i/>
        </w:rPr>
        <w:t xml:space="preserve">mechanisms,</w:t>
      </w:r>
      <w:r>
        <w:rPr>
          <w:iCs/>
          <w:i/>
        </w:rPr>
        <w:t xml:space="preserve"> </w:t>
      </w:r>
      <w:r>
        <w:rPr>
          <w:iCs/>
          <w:i/>
        </w:rPr>
        <w:t xml:space="preserve">watts</w:t>
      </w:r>
      <w:r>
        <w:rPr>
          <w:iCs/>
          <w:i/>
        </w:rPr>
        <w:t xml:space="preserve"> </w:t>
      </w:r>
      <w:r>
        <w:rPr>
          <w:iCs/>
          <w:i/>
        </w:rPr>
        <w:t xml:space="preserve">imply</w:t>
      </w:r>
      <w:r>
        <w:rPr>
          <w:iCs/>
          <w:i/>
        </w:rPr>
        <w:t xml:space="preserve"> </w:t>
      </w:r>
      <w:r>
        <w:rPr>
          <w:iCs/>
          <w:i/>
        </w:rPr>
        <w:t xml:space="preserve">neutrons.</w:t>
      </w:r>
      <w:r>
        <w:t xml:space="preserve"> </w:t>
      </w:r>
      <w:r>
        <w:t xml:space="preserve">We</w:t>
      </w:r>
      <w:r>
        <w:t xml:space="preserve"> </w:t>
      </w:r>
      <w:r>
        <w:t xml:space="preserve">relate</w:t>
      </w:r>
      <w:r>
        <w:t xml:space="preserve"> </w:t>
      </w:r>
      <w:r>
        <w:t xml:space="preserve">these</w:t>
      </w:r>
      <w:r>
        <w:t xml:space="preserve"> </w:t>
      </w:r>
      <w:r>
        <w:t xml:space="preserve">results</w:t>
      </w:r>
      <w:r>
        <w:t xml:space="preserve"> </w:t>
      </w:r>
      <w:r>
        <w:t xml:space="preserve">to</w:t>
      </w:r>
      <w:r>
        <w:t xml:space="preserve"> </w:t>
      </w:r>
      <w:r>
        <w:t xml:space="preserve">the</w:t>
      </w:r>
      <w:r>
        <w:t xml:space="preserve"> </w:t>
      </w:r>
      <w:r>
        <w:t xml:space="preserve">Leggett–Baym</w:t>
      </w:r>
      <w:r>
        <w:t xml:space="preserve"> </w:t>
      </w:r>
      <w:r>
        <w:t xml:space="preserve">equilibrium</w:t>
      </w:r>
      <w:r>
        <w:t xml:space="preserve"> </w:t>
      </w:r>
      <w:r>
        <w:t xml:space="preserve">bound</w:t>
      </w:r>
      <w:r>
        <w:t xml:space="preserve"> </w:t>
      </w:r>
      <w:r>
        <w:t xml:space="preserve">and</w:t>
      </w:r>
      <w:r>
        <w:t xml:space="preserve"> </w:t>
      </w:r>
      <w:r>
        <w:t xml:space="preserve">propose</w:t>
      </w:r>
      <w:r>
        <w:t xml:space="preserve"> </w:t>
      </w:r>
      <w:r>
        <w:t xml:space="preserve">three</w:t>
      </w:r>
      <w:r>
        <w:t xml:space="preserve"> </w:t>
      </w:r>
      <w:r>
        <w:t xml:space="preserve">experiments</w:t>
      </w:r>
      <w:r>
        <w:t xml:space="preserve"> </w:t>
      </w:r>
      <w:r>
        <w:t xml:space="preserve">that</w:t>
      </w:r>
      <w:r>
        <w:t xml:space="preserve"> </w:t>
      </w:r>
      <w:r>
        <w:t xml:space="preserve">test</w:t>
      </w:r>
      <w:r>
        <w:t xml:space="preserve"> </w:t>
      </w:r>
      <w:r>
        <w:t xml:space="preserve">the</w:t>
      </w:r>
      <w:r>
        <w:t xml:space="preserve"> </w:t>
      </w:r>
      <w:r>
        <w:t xml:space="preserve">remaining</w:t>
      </w:r>
      <w:r>
        <w:t xml:space="preserve"> </w:t>
      </w:r>
      <w:r>
        <w:t xml:space="preserve">assumptions:</w:t>
      </w:r>
      <w:r>
        <w:t xml:space="preserve"> </w:t>
      </w:r>
      <w:r>
        <w:t xml:space="preserve">a</w:t>
      </w:r>
      <w:r>
        <w:t xml:space="preserve"> </w:t>
      </w:r>
      <w:r>
        <w:t xml:space="preserve">5.5</w:t>
      </w:r>
      <w:r>
        <w:t xml:space="preserve"> </w:t>
      </w:r>
      <w:r>
        <w:t xml:space="preserve">MeV</w:t>
      </w:r>
      <w:r>
        <w:t xml:space="preserve"> </w:t>
      </w:r>
      <w:r>
        <w:t xml:space="preserve">gamma</w:t>
      </w:r>
      <w:r>
        <w:t xml:space="preserve"> </w:t>
      </w:r>
      <w:r>
        <w:t xml:space="preserve">search</w:t>
      </w:r>
      <w:r>
        <w:t xml:space="preserve"> </w:t>
      </w:r>
      <w:r>
        <w:t xml:space="preserve">for</w:t>
      </w:r>
      <w:r>
        <w:t xml:space="preserve"> </w:t>
      </w:r>
      <w:r>
        <w:t xml:space="preserve">neutron-free</w:t>
      </w:r>
      <w:r>
        <w:t xml:space="preserve"> </w:t>
      </w:r>
      <w:r>
        <w:t xml:space="preserve">p+d</w:t>
      </w:r>
      <w:r>
        <w:t xml:space="preserve"> </w:t>
      </w:r>
      <w:r>
        <w:t xml:space="preserve">fusion</w:t>
      </w:r>
      <w:r>
        <w:t xml:space="preserve"> </w:t>
      </w:r>
      <w:r>
        <w:t xml:space="preserve">at</w:t>
      </w:r>
      <w:r>
        <w:t xml:space="preserve"> </w:t>
      </w:r>
      <w:r>
        <w:t xml:space="preserve">rest,</w:t>
      </w:r>
      <w:r>
        <w:t xml:space="preserve"> </w:t>
      </w:r>
      <w:r>
        <w:t xml:space="preserve">beam</w:t>
      </w:r>
      <w:r>
        <w:t xml:space="preserve"> </w:t>
      </w:r>
      <w:r>
        <w:t xml:space="preserve">screening</w:t>
      </w:r>
      <w:r>
        <w:t xml:space="preserve"> </w:t>
      </w:r>
      <w:r>
        <w:t xml:space="preserve">in</w:t>
      </w:r>
      <w:r>
        <w:t xml:space="preserve"> </w:t>
      </w:r>
      <w:r>
        <w:t xml:space="preserve">a</w:t>
      </w:r>
      <w:r>
        <w:t xml:space="preserve"> </w:t>
      </w:r>
      <w:r>
        <w:t xml:space="preserve">heavy-fermion</w:t>
      </w:r>
      <w:r>
        <w:t xml:space="preserve"> </w:t>
      </w:r>
      <w:r>
        <w:t xml:space="preserve">compound</w:t>
      </w:r>
      <w:r>
        <w:t xml:space="preserve"> </w:t>
      </w:r>
      <w:r>
        <w:t xml:space="preserve">with</w:t>
      </w:r>
      <w:r>
        <w:t xml:space="preserve"> </w:t>
      </w:r>
      <w:r>
        <w:t xml:space="preserve">a</w:t>
      </w:r>
      <w:r>
        <w:t xml:space="preserve"> </w:t>
      </w:r>
      <w:r>
        <w:t xml:space="preserve">temperature</w:t>
      </w:r>
      <w:r>
        <w:t xml:space="preserve"> </w:t>
      </w:r>
      <w:r>
        <w:t xml:space="preserve">switch,</w:t>
      </w:r>
      <w:r>
        <w:t xml:space="preserve"> </w:t>
      </w:r>
      <w:r>
        <w:t xml:space="preserve">and</w:t>
      </w:r>
      <w:r>
        <w:t xml:space="preserve"> </w:t>
      </w:r>
      <w:r>
        <w:t xml:space="preserve">same-target</w:t>
      </w:r>
      <w:r>
        <w:t xml:space="preserve"> </w:t>
      </w:r>
      <w:r>
        <w:t xml:space="preserve">p+d</w:t>
      </w:r>
      <w:r>
        <w:t xml:space="preserve"> </w:t>
      </w:r>
      <w:r>
        <w:t xml:space="preserve">vs</w:t>
      </w:r>
      <w:r>
        <w:t xml:space="preserve"> </w:t>
      </w:r>
      <w:r>
        <w:t xml:space="preserve">d+d</w:t>
      </w:r>
      <w:r>
        <w:t xml:space="preserve"> </w:t>
      </w:r>
      <w:r>
        <w:t xml:space="preserve">screening.</w:t>
      </w:r>
    </w:p>
    <w:bookmarkStart w:id="20" w:name="introduction"/>
    <w:p>
      <w:pPr>
        <w:pStyle w:val="Heading1"/>
      </w:pPr>
      <w:r>
        <w:t xml:space="preserve">1. Introduction</w:t>
      </w:r>
    </w:p>
    <w:p>
      <w:pPr>
        <w:pStyle w:val="FirstParagraph"/>
      </w:pPr>
      <w:r>
        <w:t xml:space="preserve">Room-temperature fusion claims in deuterated metals [Fleischmann–Pons 1989; Jones et al. 1989] were met within months by molecular rate calculations [Koonin &amp; Nauenberg 1989], general bounds on barrier penetration in many-body systems at equilibrium [Leggett &amp; Baym 1989], estimates of conduction-electron screening [Parmenter &amp; Lamb 1989], and null neutron searches [Aberdam et al. 1990]. A large re-examination found no evidence for the effect [Berlinguette et al. 2019].</w:t>
      </w:r>
    </w:p>
    <w:p>
      <w:pPr>
        <w:pStyle w:val="BodyText"/>
      </w:pPr>
      <w:r>
        <w:t xml:space="preserve">One anomaly has since been firmly established by accelerator experiments. Fitted to low-energy d(d,p)t yields on deuterated metals, the</w:t>
      </w:r>
      <w:r>
        <w:t xml:space="preserve"> </w:t>
      </w:r>
      <w:r>
        <w:rPr>
          <w:bCs/>
          <w:b/>
        </w:rPr>
        <w:t xml:space="preserve">electron screening energy</w:t>
      </w:r>
      <w:r>
        <w:t xml:space="preserve"> </w:t>
      </w:r>
      <w:r>
        <w:t xml:space="preserve">is U</w:t>
      </w:r>
      <w:r>
        <w:rPr>
          <w:vertAlign w:val="subscript"/>
        </w:rPr>
        <w:t xml:space="preserve">e</w:t>
      </w:r>
      <w:r>
        <w:t xml:space="preserve"> </w:t>
      </w:r>
      <w:r>
        <w:t xml:space="preserve">≈ 200–800 eV in many metals [Raiola et al. 2002, 2004; Czerski et al.], against ≈ 25 eV for D₂ gas targets and the ≈ 28 eV adiabatic limit. Recent work found a 15% rate increase with electrochemical loading [Chen et al. 2025] and fitted U</w:t>
      </w:r>
      <w:r>
        <w:rPr>
          <w:vertAlign w:val="subscript"/>
        </w:rPr>
        <w:t xml:space="preserve">e</w:t>
      </w:r>
      <w:r>
        <w:t xml:space="preserve"> </w:t>
      </w:r>
      <w:r>
        <w:t xml:space="preserve">= 0.8 ± 0.2 keV for beam-loaded Pd, rising to 1.7 ± 0.2 keV with electrochemical loading (Ti: 0.3 → 0.9 keV), together with a yield plateau below 2.5 keV [Karahadian et al. 2026]. The authors note that U</w:t>
      </w:r>
      <w:r>
        <w:rPr>
          <w:vertAlign w:val="subscript"/>
        </w:rPr>
        <w:t xml:space="preserve">e</w:t>
      </w:r>
      <w:r>
        <w:t xml:space="preserve"> </w:t>
      </w:r>
      <w:r>
        <w:t xml:space="preserve">may lump several mechanisms, including depth-dependent loading and near-surface replenishment of deuterium.</w:t>
      </w:r>
    </w:p>
    <w:p>
      <w:pPr>
        <w:pStyle w:val="BodyText"/>
      </w:pPr>
      <w:r>
        <w:t xml:space="preserve">All of these are</w:t>
      </w:r>
      <w:r>
        <w:t xml:space="preserve"> </w:t>
      </w:r>
      <w:r>
        <w:rPr>
          <w:bCs/>
          <w:b/>
        </w:rPr>
        <w:t xml:space="preserve">beam measurements</w:t>
      </w:r>
      <w:r>
        <w:t xml:space="preserve">: they fix the effective potential near the classical turning point of keV deuterons, R</w:t>
      </w:r>
      <w:r>
        <w:rPr>
          <w:vertAlign w:val="subscript"/>
        </w:rPr>
        <w:t xml:space="preserve">tp</w:t>
      </w:r>
      <w:r>
        <w:t xml:space="preserve"> </w:t>
      </w:r>
      <w:r>
        <w:t xml:space="preserve">≈ 0.004 Å. They say nothing directly about deuterons at rest, 1–3 Å apart in the lattice. That is the regime any room-temperature effect would need. This paper asks:</w:t>
      </w:r>
      <w:r>
        <w:t xml:space="preserve"> </w:t>
      </w:r>
      <w:r>
        <w:rPr>
          <w:iCs/>
          <w:i/>
        </w:rPr>
        <w:t xml:space="preserve">if the anomalous screening extends to deuterons at rest, how far can it reach without contradicting the null searches, and what would it take to give practical rates?</w:t>
      </w:r>
    </w:p>
    <w:bookmarkEnd w:id="20"/>
    <w:bookmarkStart w:id="24" w:name="method"/>
    <w:p>
      <w:pPr>
        <w:pStyle w:val="Heading1"/>
      </w:pPr>
      <w:r>
        <w:t xml:space="preserve">2. Method</w:t>
      </w:r>
    </w:p>
    <w:bookmarkStart w:id="21" w:name="fusion-rate-of-a-bound-pair"/>
    <w:p>
      <w:pPr>
        <w:pStyle w:val="Heading2"/>
      </w:pPr>
      <w:r>
        <w:t xml:space="preserve">2.1 Fusion rate of a bound pair</w:t>
      </w:r>
    </w:p>
    <w:p>
      <w:pPr>
        <w:pStyle w:val="FirstParagraph"/>
      </w:pPr>
      <w:r>
        <w:t xml:space="preserve">For a bound pair, the fusion rate is</w:t>
      </w:r>
    </w:p>
    <w:p>
      <w:pPr>
        <w:pStyle w:val="BodyText"/>
      </w:pPr>
      <w:r>
        <w:t xml:space="preserve">Γ = A |ψ(0)|², A = (S(0) c)/(πα μ c²),</w:t>
      </w:r>
    </w:p>
    <w:p>
      <w:pPr>
        <w:pStyle w:val="BodyText"/>
      </w:pPr>
      <w:r>
        <w:t xml:space="preserve">with S(0) = 109.3 keV b (Bosch–Hale, both d+d branches), giving A = 1.52×10⁻¹⁶ cm³ s⁻¹. ψ is the s-wave ground state of the relative motion in potential V(R). We solve u’’ = 2μ(V-E)u on a logarithmic grid from 0.5 fm, starting from the regular repulsive-Coulomb solution, find the energy by node-counting bisection, and track amplitudes in log space (ψ(0) is ~10⁻³⁷ of its peak).</w:t>
      </w:r>
    </w:p>
    <w:bookmarkEnd w:id="21"/>
    <w:bookmarkStart w:id="22" w:name="validation"/>
    <w:p>
      <w:pPr>
        <w:pStyle w:val="Heading2"/>
      </w:pPr>
      <w:r>
        <w:t xml:space="preserve">2.2 Validation</w:t>
      </w:r>
    </w:p>
    <w:p>
      <w:pPr>
        <w:pStyle w:val="FirstParagraph"/>
      </w:pPr>
      <w:r>
        <w:t xml:space="preserve">With the Born–Oppenheimer curve of Pachucki [2010] (R = 0.1–20 bohr), the solver reproduces: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This work</w:t>
            </w:r>
          </w:p>
        </w:tc>
        <w:tc>
          <w:tcPr/>
          <w:p>
            <w:pPr>
              <w:pStyle w:val="Compact"/>
              <w:jc w:val="left"/>
            </w:pPr>
            <w:r>
              <w:t xml:space="preserve">Reference</w:t>
            </w:r>
          </w:p>
        </w:tc>
      </w:tr>
      <w:tr>
        <w:tc>
          <w:tcPr/>
          <w:p>
            <w:pPr>
              <w:pStyle w:val="Compact"/>
              <w:jc w:val="left"/>
            </w:pPr>
            <w:r>
              <w:t xml:space="preserve">D₂ binding D₀</w:t>
            </w:r>
          </w:p>
        </w:tc>
        <w:tc>
          <w:tcPr/>
          <w:p>
            <w:pPr>
              <w:pStyle w:val="Compact"/>
              <w:jc w:val="left"/>
            </w:pPr>
            <w:r>
              <w:t xml:space="preserve">4.5559 eV</w:t>
            </w:r>
          </w:p>
        </w:tc>
        <w:tc>
          <w:tcPr/>
          <w:p>
            <w:pPr>
              <w:pStyle w:val="Compact"/>
              <w:jc w:val="left"/>
            </w:pPr>
            <w:r>
              <w:t xml:space="preserve">4.5562 eV</w:t>
            </w:r>
          </w:p>
        </w:tc>
      </w:tr>
      <w:tr>
        <w:tc>
          <w:tcPr/>
          <w:p>
            <w:pPr>
              <w:pStyle w:val="Compact"/>
              <w:jc w:val="left"/>
            </w:pPr>
            <w:r>
              <w:t xml:space="preserve">HD / H₂ binding</w:t>
            </w:r>
          </w:p>
        </w:tc>
        <w:tc>
          <w:tcPr/>
          <w:p>
            <w:pPr>
              <w:pStyle w:val="Compact"/>
              <w:jc w:val="left"/>
            </w:pPr>
            <w:r>
              <w:t xml:space="preserve">4.5133 / 4.4774 eV</w:t>
            </w:r>
          </w:p>
        </w:tc>
        <w:tc>
          <w:tcPr/>
          <w:p>
            <w:pPr>
              <w:pStyle w:val="Compact"/>
              <w:jc w:val="left"/>
            </w:pPr>
            <w:r>
              <w:t xml:space="preserve">4.5139 / 4.4781 eV</w:t>
            </w:r>
          </w:p>
        </w:tc>
      </w:tr>
      <w:tr>
        <w:tc>
          <w:tcPr/>
          <w:p>
            <w:pPr>
              <w:pStyle w:val="Compact"/>
              <w:jc w:val="left"/>
            </w:pPr>
            <w:r>
              <w:t xml:space="preserve">d+d rate in D₂</w:t>
            </w:r>
          </w:p>
        </w:tc>
        <w:tc>
          <w:tcPr/>
          <w:p>
            <w:pPr>
              <w:pStyle w:val="Compact"/>
              <w:jc w:val="left"/>
            </w:pPr>
            <w:r>
              <w:t xml:space="preserve">2.0×10⁻⁶⁴ s⁻¹</w:t>
            </w:r>
          </w:p>
        </w:tc>
        <w:tc>
          <w:tcPr/>
          <w:p>
            <w:pPr>
              <w:pStyle w:val="Compact"/>
              <w:jc w:val="left"/>
            </w:pPr>
            <w:r>
              <w:t xml:space="preserve">3×10⁻⁶⁴ [Koonin–Nauenberg]; 5.7×10⁻⁶⁴ [2025 recalculation]</w:t>
            </w:r>
          </w:p>
        </w:tc>
      </w:tr>
      <w:tr>
        <w:tc>
          <w:tcPr/>
          <w:p>
            <w:pPr>
              <w:pStyle w:val="Compact"/>
              <w:jc w:val="left"/>
            </w:pPr>
            <w:r>
              <w:t xml:space="preserve">p+d rate in HD</w:t>
            </w:r>
          </w:p>
        </w:tc>
        <w:tc>
          <w:tcPr/>
          <w:p>
            <w:pPr>
              <w:pStyle w:val="Compact"/>
              <w:jc w:val="left"/>
            </w:pPr>
            <w:r>
              <w:t xml:space="preserve">10⁻⁵⁵·³ s⁻¹</w:t>
            </w:r>
          </w:p>
        </w:tc>
        <w:tc>
          <w:tcPr/>
          <w:p>
            <w:pPr>
              <w:pStyle w:val="Compact"/>
              <w:jc w:val="left"/>
            </w:pPr>
            <w:r>
              <w:t xml:space="preserve">∼10⁻⁵⁵ [Koonin–Nauenberg]</w:t>
            </w:r>
          </w:p>
        </w:tc>
      </w:tr>
      <w:tr>
        <w:tc>
          <w:tcPr/>
          <w:p>
            <w:pPr>
              <w:pStyle w:val="Compact"/>
              <w:jc w:val="left"/>
            </w:pPr>
            <w:r>
              <w:t xml:space="preserve">Thermal reactivity (Gamow integral)</w:t>
            </w:r>
          </w:p>
        </w:tc>
        <w:tc>
          <w:tcPr/>
          <w:p>
            <w:pPr>
              <w:pStyle w:val="Compact"/>
              <w:jc w:val="left"/>
            </w:pPr>
            <w:r>
              <w:t xml:space="preserve">within 1–2%</w:t>
            </w:r>
          </w:p>
        </w:tc>
        <w:tc>
          <w:tcPr/>
          <w:p>
            <w:pPr>
              <w:pStyle w:val="Compact"/>
              <w:jc w:val="left"/>
            </w:pPr>
            <w:r>
              <w:t xml:space="preserve">Bosch–Hale fit, 0.2–50 keV</w:t>
            </w:r>
          </w:p>
        </w:tc>
      </w:tr>
    </w:tbl>
    <w:p>
      <w:pPr>
        <w:pStyle w:val="BodyText"/>
      </w:pPr>
      <w:r>
        <w:t xml:space="preserve">The solver is converged to 0.002 decades in step size and starting radius. The spread among published molecular rates (factor ~3) reflects nuclear-contact modelling; we take a factor of a few as the working uncertainty.</w:t>
      </w:r>
    </w:p>
    <w:bookmarkEnd w:id="22"/>
    <w:bookmarkStart w:id="23" w:name="lattice-pair-and-anomalous-screening"/>
    <w:p>
      <w:pPr>
        <w:pStyle w:val="Heading2"/>
      </w:pPr>
      <w:r>
        <w:t xml:space="preserve">2.3 Lattice pair and anomalous screening</w:t>
      </w:r>
    </w:p>
    <w:p>
      <w:pPr>
        <w:pStyle w:val="FirstParagraph"/>
      </w:pPr>
      <w:r>
        <w:t xml:space="preserve">A lattice d–d pair is modelled by Thomas–Fermi-screened repulsion (0.57 Å for Pd) plus a restoring force on the separation set by the PdD optical phonon (37 meV), around an equilibrium spacing d₀. We use d₀ = 2.75 Å (octahedral neighbours) and also 1.4 and 0.94 Å, the average and minimum equilibrium separations reported for heavily loaded Pd [Sun &amp; Tománek 1989; values as quoted in later reviews]. Variants with a barrier-capped restoring force, other screening lengths and phonon energies are in the repository.</w:t>
      </w:r>
    </w:p>
    <w:p>
      <w:pPr>
        <w:pStyle w:val="BodyText"/>
      </w:pPr>
      <w:r>
        <w:t xml:space="preserve">The anomalous screening is an extra potential Δ V(R) = -Δ U g(R/ℓ) with four shapes: exponential, Gaussian, step and Yukawa-type (g(x) = (1-e</w:t>
      </w:r>
      <w:r>
        <w:rPr>
          <w:vertAlign w:val="superscript"/>
        </w:rPr>
        <w:t xml:space="preserve">-x</w:t>
      </w:r>
      <w:r>
        <w:t xml:space="preserve">)/x, which has a long -q/R tail). For each range ℓ, Δ U is fixed by requiring Δ V(R</w:t>
      </w:r>
      <w:r>
        <w:rPr>
          <w:vertAlign w:val="subscript"/>
        </w:rPr>
        <w:t xml:space="preserve">tp</w:t>
      </w:r>
      <w:r>
        <w:t xml:space="preserve">) = -U</w:t>
      </w:r>
      <w:r>
        <w:rPr>
          <w:vertAlign w:val="subscript"/>
        </w:rPr>
        <w:t xml:space="preserve">meas</w:t>
      </w:r>
      <w:r>
        <w:t xml:space="preserve">, so every model reproduces the beam data. When Δ V creates a new bound state at short range, the effective rate is the smaller of the bound-state fusion rate and the WKB tunneling rate into it from the lattice site.</w:t>
      </w:r>
    </w:p>
    <w:bookmarkEnd w:id="23"/>
    <w:bookmarkEnd w:id="24"/>
    <w:bookmarkStart w:id="40" w:name="results"/>
    <w:p>
      <w:pPr>
        <w:pStyle w:val="Heading1"/>
      </w:pPr>
      <w:r>
        <w:t xml:space="preserve">3. Results</w:t>
      </w:r>
    </w:p>
    <w:bookmarkStart w:id="25" w:name="baseline"/>
    <w:p>
      <w:pPr>
        <w:pStyle w:val="Heading2"/>
      </w:pPr>
      <w:r>
        <w:t xml:space="preserve">3.1 Baseline</w:t>
      </w:r>
    </w:p>
    <w:p>
      <w:pPr>
        <w:pStyle w:val="FirstParagraph"/>
      </w:pPr>
      <w:r>
        <w:t xml:space="preserve">A d–d pair at the lattice spacing fuses at 10⁻¹²³·⁹ s⁻¹ (2.75 Å), 10⁻¹¹²·¹ s⁻¹ (1.4 Å) and 10⁻¹⁰⁹·⁵ s⁻¹ (0.94 Å). One watt per cm³ of PdD requires ~6×10⁻¹¹ s⁻¹ per pair, so the baseline gap is 98–114 orders of magnitude. For comparison, a D₂ molecule (0.74 Å) gives 2×10⁻⁶⁴ s⁻¹. Compressing a molecule-like pair, every hydrogen-isotope fuel except p+p reaches watt level at a spacing of 7.3–8.2 pm, corresponding to a screening particle ~9× heavier than an electron.</w:t>
      </w:r>
    </w:p>
    <w:bookmarkEnd w:id="25"/>
    <w:bookmarkStart w:id="29" w:name="the-cliff"/>
    <w:p>
      <w:pPr>
        <w:pStyle w:val="Heading2"/>
      </w:pPr>
      <w:r>
        <w:t xml:space="preserve">3.2 The cliff</w:t>
      </w:r>
    </w:p>
    <w:p>
      <w:pPr>
        <w:pStyle w:val="CaptionedFigure"/>
      </w:pPr>
      <w:r>
        <w:drawing>
          <wp:inline>
            <wp:extent cx="5334000" cy="2963333"/>
            <wp:effectExtent b="0" l="0" r="0" t="0"/>
            <wp:docPr descr="Effective lattice-pair rate along the beam-consistent curve (exponential profile, 2.75 Å) for three measured screening strengths. Dotted: fusion rate inside the new short-range bound state." title="" id="27" name="Picture"/>
            <a:graphic>
              <a:graphicData uri="http://schemas.openxmlformats.org/drawingml/2006/picture">
                <pic:pic>
                  <pic:nvPicPr>
                    <pic:cNvPr descr="../figures/03_along_band.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Effective lattice-pair rate along the beam-consistent curve (exponential profile, 2.75 Å) for three measured screening strengths. Dotted: fusion rate inside the new short-range bound state.</w:t>
      </w:r>
    </w:p>
    <w:p>
      <w:pPr>
        <w:pStyle w:val="BodyText"/>
      </w:pPr>
      <w:r>
        <w:t xml:space="preserve">While the extra screening is confined to the region the beams probe, the lattice rate stays below 10⁻¹⁰⁰ s⁻¹. As ℓ grows, the rate</w:t>
      </w:r>
      <w:r>
        <w:t xml:space="preserve"> </w:t>
      </w:r>
      <w:r>
        <w:rPr>
          <w:bCs/>
          <w:b/>
        </w:rPr>
        <w:t xml:space="preserve">jumps</w:t>
      </w:r>
      <w:r>
        <w:t xml:space="preserve"> </w:t>
      </w:r>
      <w:r>
        <w:t xml:space="preserve">when Δ V binds a new d–d state, at 0.24, 0.13 and 0.07 Å for U</w:t>
      </w:r>
      <w:r>
        <w:rPr>
          <w:vertAlign w:val="subscript"/>
        </w:rPr>
        <w:t xml:space="preserve">meas</w:t>
      </w:r>
      <w:r>
        <w:t xml:space="preserve"> </w:t>
      </w:r>
      <w:r>
        <w:t xml:space="preserve">= 165, 300 and 575 eV (exponential profile, 2.75 Å). It is then limited by tunneling into that state and by fusion within it (10⁻²⁷ to 10⁻⁷ s⁻¹).</w:t>
      </w:r>
    </w:p>
    <w:bookmarkEnd w:id="29"/>
    <w:bookmarkStart w:id="33" w:name="X67fc7a185790f91a24df1f5841a463d163ca83f"/>
    <w:p>
      <w:pPr>
        <w:pStyle w:val="Heading2"/>
      </w:pPr>
      <w:r>
        <w:t xml:space="preserve">3.3 Claim A: the range of anomalous screening at rest is bounded</w:t>
      </w:r>
    </w:p>
    <w:p>
      <w:pPr>
        <w:pStyle w:val="FirstParagraph"/>
      </w:pPr>
      <w:r>
        <w:t xml:space="preserve">The null neutron limit for Pd and Ti at rest [Aberdam et al. 1990] bounds 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w:t>
            </w:r>
            <w:r>
              <w:rPr>
                <w:vertAlign w:val="subscript"/>
              </w:rPr>
              <w:t xml:space="preserve">meas</w:t>
            </w:r>
          </w:p>
        </w:tc>
        <w:tc>
          <w:tcPr/>
          <w:p>
            <w:pPr>
              <w:pStyle w:val="Compact"/>
              <w:jc w:val="left"/>
            </w:pPr>
            <w:r>
              <w:t xml:space="preserve">Exponential, 2.75 Å</w:t>
            </w:r>
          </w:p>
        </w:tc>
        <w:tc>
          <w:tcPr/>
          <w:p>
            <w:pPr>
              <w:pStyle w:val="Compact"/>
              <w:jc w:val="left"/>
            </w:pPr>
            <w:r>
              <w:t xml:space="preserve">Exponential, 0.94 Å</w:t>
            </w:r>
          </w:p>
        </w:tc>
        <w:tc>
          <w:tcPr/>
          <w:p>
            <w:pPr>
              <w:pStyle w:val="Compact"/>
              <w:jc w:val="left"/>
            </w:pPr>
            <w:r>
              <w:t xml:space="preserve">Gaussian, 2.75 Å</w:t>
            </w:r>
          </w:p>
        </w:tc>
        <w:tc>
          <w:tcPr/>
          <w:p>
            <w:pPr>
              <w:pStyle w:val="Compact"/>
              <w:jc w:val="left"/>
            </w:pPr>
            <w:r>
              <w:t xml:space="preserve">Yukawa (any spacing)</w:t>
            </w:r>
          </w:p>
        </w:tc>
      </w:tr>
      <w:tr>
        <w:tc>
          <w:tcPr/>
          <w:p>
            <w:pPr>
              <w:pStyle w:val="Compact"/>
              <w:jc w:val="left"/>
            </w:pPr>
            <w:r>
              <w:t xml:space="preserve">300 eV</w:t>
            </w:r>
          </w:p>
        </w:tc>
        <w:tc>
          <w:tcPr/>
          <w:p>
            <w:pPr>
              <w:pStyle w:val="Compact"/>
              <w:jc w:val="left"/>
            </w:pPr>
            <w:r>
              <w:t xml:space="preserve">0.159</w:t>
            </w:r>
          </w:p>
        </w:tc>
        <w:tc>
          <w:tcPr/>
          <w:p>
            <w:pPr>
              <w:pStyle w:val="Compact"/>
              <w:jc w:val="left"/>
            </w:pPr>
            <w:r>
              <w:t xml:space="preserve">0.113</w:t>
            </w:r>
          </w:p>
        </w:tc>
        <w:tc>
          <w:tcPr/>
          <w:p>
            <w:pPr>
              <w:pStyle w:val="Compact"/>
              <w:jc w:val="left"/>
            </w:pPr>
            <w:r>
              <w:t xml:space="preserve">0.311</w:t>
            </w:r>
          </w:p>
        </w:tc>
        <w:tc>
          <w:tcPr/>
          <w:p>
            <w:pPr>
              <w:pStyle w:val="Compact"/>
              <w:jc w:val="left"/>
            </w:pPr>
            <w:r>
              <w:t xml:space="preserve">0.041</w:t>
            </w:r>
          </w:p>
        </w:tc>
      </w:tr>
      <w:tr>
        <w:tc>
          <w:tcPr/>
          <w:p>
            <w:pPr>
              <w:pStyle w:val="Compact"/>
              <w:jc w:val="left"/>
            </w:pPr>
            <w:r>
              <w:t xml:space="preserve">575 eV</w:t>
            </w:r>
          </w:p>
        </w:tc>
        <w:tc>
          <w:tcPr/>
          <w:p>
            <w:pPr>
              <w:pStyle w:val="Compact"/>
              <w:jc w:val="left"/>
            </w:pPr>
            <w:r>
              <w:t xml:space="preserve">0.134</w:t>
            </w:r>
          </w:p>
        </w:tc>
        <w:tc>
          <w:tcPr/>
          <w:p>
            <w:pPr>
              <w:pStyle w:val="Compact"/>
              <w:jc w:val="left"/>
            </w:pPr>
            <w:r>
              <w:t xml:space="preserve">0.081</w:t>
            </w:r>
          </w:p>
        </w:tc>
        <w:tc>
          <w:tcPr/>
          <w:p>
            <w:pPr>
              <w:pStyle w:val="Compact"/>
              <w:jc w:val="left"/>
            </w:pPr>
            <w:r>
              <w:t xml:space="preserve">0.311</w:t>
            </w:r>
          </w:p>
        </w:tc>
        <w:tc>
          <w:tcPr/>
          <w:p>
            <w:pPr>
              <w:pStyle w:val="Compact"/>
              <w:jc w:val="left"/>
            </w:pPr>
            <w:r>
              <w:t xml:space="preserve">0.019</w:t>
            </w:r>
          </w:p>
        </w:tc>
      </w:tr>
      <w:tr>
        <w:tc>
          <w:tcPr/>
          <w:p>
            <w:pPr>
              <w:pStyle w:val="Compact"/>
              <w:jc w:val="left"/>
            </w:pPr>
            <w:r>
              <w:t xml:space="preserve">800 eV</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0.013</w:t>
            </w:r>
          </w:p>
        </w:tc>
      </w:tr>
      <w:tr>
        <w:tc>
          <w:tcPr/>
          <w:p>
            <w:pPr>
              <w:pStyle w:val="Compact"/>
              <w:jc w:val="left"/>
            </w:pPr>
            <w:r>
              <w:t xml:space="preserve">900 eV (TiD)</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0.011</w:t>
            </w:r>
          </w:p>
        </w:tc>
      </w:tr>
      <w:tr>
        <w:tc>
          <w:tcPr/>
          <w:p>
            <w:pPr>
              <w:pStyle w:val="Compact"/>
              <w:jc w:val="left"/>
            </w:pPr>
            <w:r>
              <w:t xml:space="preserve">1.7 keV (PdD)</w:t>
            </w:r>
          </w:p>
        </w:tc>
        <w:tc>
          <w:tcPr/>
          <w:p>
            <w:pPr>
              <w:pStyle w:val="Compact"/>
              <w:jc w:val="left"/>
            </w:pPr>
            <w:r>
              <w:t xml:space="preserve">0.113</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0.0043</w:t>
            </w:r>
          </w:p>
        </w:tc>
      </w:tr>
      <w:tr>
        <w:tc>
          <w:tcPr/>
          <w:p>
            <w:pPr>
              <w:pStyle w:val="Compact"/>
              <w:jc w:val="left"/>
            </w:pPr>
            <w:r>
              <w:t xml:space="preserve">2.0 keV</w:t>
            </w:r>
          </w:p>
        </w:tc>
        <w:tc>
          <w:tcPr/>
          <w:p>
            <w:pPr>
              <w:pStyle w:val="Compact"/>
              <w:jc w:val="left"/>
            </w:pPr>
            <w:r>
              <w:t xml:space="preserve">0.104</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0.0030</w:t>
            </w:r>
          </w:p>
        </w:tc>
      </w:tr>
    </w:tbl>
    <w:p>
      <w:pPr>
        <w:pStyle w:val="BodyText"/>
      </w:pPr>
      <w:r>
        <w:rPr>
          <w:iCs/>
          <w:i/>
        </w:rPr>
        <w:t xml:space="preserve">Maximum range ℓ (Å) of the anomalous screening allowed at rest by the 1990 null limit (notebook 04b). Step profiles reach the limit only at the closer spacings (0.19–0.26 Å at 0.94–1.4 Å).</w:t>
      </w:r>
    </w:p>
    <w:p>
      <w:pPr>
        <w:pStyle w:val="CaptionedFigure"/>
      </w:pPr>
      <w:r>
        <w:drawing>
          <wp:inline>
            <wp:extent cx="5334000" cy="1759598"/>
            <wp:effectExtent b="0" l="0" r="0" t="0"/>
            <wp:docPr descr="Effective rate along the beam-consistent curve for four profile shapes (2.75 Å)." title="" id="31" name="Picture"/>
            <a:graphic>
              <a:graphicData uri="http://schemas.openxmlformats.org/drawingml/2006/picture">
                <pic:pic>
                  <pic:nvPicPr>
                    <pic:cNvPr descr="../figures/04_shapes.png" id="32" name="Picture"/>
                    <pic:cNvPicPr>
                      <a:picLocks noChangeArrowheads="1" noChangeAspect="1"/>
                    </pic:cNvPicPr>
                  </pic:nvPicPr>
                  <pic:blipFill>
                    <a:blip r:embed="rId30"/>
                    <a:stretch>
                      <a:fillRect/>
                    </a:stretch>
                  </pic:blipFill>
                  <pic:spPr bwMode="auto">
                    <a:xfrm>
                      <a:off x="0" y="0"/>
                      <a:ext cx="5334000" cy="1759598"/>
                    </a:xfrm>
                    <a:prstGeom prst="rect">
                      <a:avLst/>
                    </a:prstGeom>
                    <a:noFill/>
                    <a:ln w="9525">
                      <a:noFill/>
                      <a:headEnd/>
                      <a:tailEnd/>
                    </a:ln>
                  </pic:spPr>
                </pic:pic>
              </a:graphicData>
            </a:graphic>
          </wp:inline>
        </w:drawing>
      </w:r>
    </w:p>
    <w:p>
      <w:pPr>
        <w:pStyle w:val="ImageCaption"/>
      </w:pPr>
      <w:r>
        <w:t xml:space="preserve">Effective rate along the beam-consistent curve for four profile shapes (2.75 Å).</w:t>
      </w:r>
    </w:p>
    <w:p>
      <w:pPr>
        <w:pStyle w:val="BodyText"/>
      </w:pPr>
      <w:r>
        <w:t xml:space="preserve">Across 112 variants the allowed range is</w:t>
      </w:r>
      <w:r>
        <w:t xml:space="preserve"> </w:t>
      </w:r>
      <w:r>
        <w:rPr>
          <w:bCs/>
          <w:b/>
        </w:rPr>
        <w:t xml:space="preserve">≈0.003–0.3 Å</w:t>
      </w:r>
      <w:r>
        <w:t xml:space="preserve">. It is set mainly by the profile shape and the Thomas–Fermi length; lattice stiffness, phonon energy and tunneling attempt frequency (×10</w:t>
      </w:r>
      <w:r>
        <w:rPr>
          <w:vertAlign w:val="superscript"/>
        </w:rPr>
        <w:t xml:space="preserve">±3</w:t>
      </w:r>
      <w:r>
        <w:t xml:space="preserve">) change it by ≲20%, and closer equilibrium spacings tighten it.</w:t>
      </w:r>
      <w:r>
        <w:t xml:space="preserve"> </w:t>
      </w:r>
      <w:r>
        <w:rPr>
          <w:bCs/>
          <w:b/>
        </w:rPr>
        <w:t xml:space="preserve">For keV-scale screening with a long-tailed (Yukawa) profile, the bound reaches the beam turning point itself (~0.003–0.004 Å):</w:t>
      </w:r>
      <w:r>
        <w:t xml:space="preserve"> </w:t>
      </w:r>
      <w:r>
        <w:t xml:space="preserve">keV screening cannot extend appreciably beyond the distances the beam probes. Step profiles and the weakest screening (165 eV) never reach the limit and remain unconstrained, but those cases also never come within 20 orders of watt level.</w:t>
      </w:r>
    </w:p>
    <w:bookmarkEnd w:id="33"/>
    <w:bookmarkStart w:id="37" w:name="claim-b-watts-imply-neutrons"/>
    <w:p>
      <w:pPr>
        <w:pStyle w:val="Heading2"/>
      </w:pPr>
      <w:r>
        <w:t xml:space="preserve">3.4 Claim B: watts imply neutrons</w:t>
      </w:r>
    </w:p>
    <w:p>
      <w:pPr>
        <w:pStyle w:val="FirstParagraph"/>
      </w:pPr>
      <w:r>
        <w:t xml:space="preserve">Of the 72 variants in notebook 04b (and the 40 in notebook 04), 33 reach 1 W cm⁻³ somewhere on the beam-consistent curve, all with U</w:t>
      </w:r>
      <w:r>
        <w:rPr>
          <w:vertAlign w:val="subscript"/>
        </w:rPr>
        <w:t xml:space="preserve">meas</w:t>
      </w:r>
      <w:r>
        <w:t xml:space="preserve"> </w:t>
      </w:r>
      <w:r>
        <w:t xml:space="preserve">≥ 575 eV.</w:t>
      </w:r>
      <w:r>
        <w:t xml:space="preserve"> </w:t>
      </w:r>
      <w:r>
        <w:rPr>
          <w:bCs/>
          <w:b/>
        </w:rPr>
        <w:t xml:space="preserve">In every one, the neutron limit is crossed at a shorter range than watt level, and no variant jumps from below the limit straight to watt level.</w:t>
      </w:r>
      <w:r>
        <w:t xml:space="preserve"> </w:t>
      </w:r>
      <w:r>
        <w:t xml:space="preserve">The smallest margin, a factor of 1.29 in range, occurs for the Yukawa profile at 1.7 keV. The physical reason is that a rate climbing from 10⁻²⁶ to 10⁻¹⁰ s⁻¹ must pass through the excluded band. Only a discontinuous jump, which the bound-state kinetics never produce, could skip it. Any screening-plus-confinement mechanism that delivered watts at rest would therefore have produced neutron rates exceeding the 1990 limit by ~15 orders of magnitude.</w:t>
      </w:r>
    </w:p>
    <w:p>
      <w:pPr>
        <w:pStyle w:val="CaptionedFigure"/>
      </w:pPr>
      <w:r>
        <w:drawing>
          <wp:inline>
            <wp:extent cx="5334000" cy="3407833"/>
            <wp:effectExtent b="0" l="0" r="0" t="0"/>
            <wp:docPr descr="Maximum range allowed at rest across the notebook 04 variants (300 and 575 eV)." title="" id="35" name="Picture"/>
            <a:graphic>
              <a:graphicData uri="http://schemas.openxmlformats.org/drawingml/2006/picture">
                <pic:pic>
                  <pic:nvPicPr>
                    <pic:cNvPr descr="../figures/04_range_bound.png" id="36" name="Picture"/>
                    <pic:cNvPicPr>
                      <a:picLocks noChangeArrowheads="1" noChangeAspect="1"/>
                    </pic:cNvPicPr>
                  </pic:nvPicPr>
                  <pic:blipFill>
                    <a:blip r:embed="rId3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Maximum range allowed at rest across the notebook 04 variants (300 and 575 eV).</w:t>
      </w:r>
    </w:p>
    <w:bookmarkEnd w:id="37"/>
    <w:bookmarkStart w:id="38" w:name="the-neutron-free-channel"/>
    <w:p>
      <w:pPr>
        <w:pStyle w:val="Heading2"/>
      </w:pPr>
      <w:r>
        <w:t xml:space="preserve">3.5 The neutron-free channel</w:t>
      </w:r>
    </w:p>
    <w:p>
      <w:pPr>
        <w:pStyle w:val="FirstParagraph"/>
      </w:pPr>
      <w:r>
        <w:t xml:space="preserve">p+d → ³He + γ (5.49 MeV) has no neutron branch, so the 1990 limit does not constrain it directly. We scanned mixed H/D loading with the same beam-matched screening (notebook 05b: U</w:t>
      </w:r>
      <w:r>
        <w:rPr>
          <w:vertAlign w:val="subscript"/>
        </w:rPr>
        <w:t xml:space="preserve">meas</w:t>
      </w:r>
      <w:r>
        <w:t xml:space="preserve"> </w:t>
      </w:r>
      <w:r>
        <w:t xml:space="preserve">= 0.9, 1.7 and 2.0 keV, four profile shapes, spacings 2.75 and 0.94 Å). In 14 of the 24 variants, p+d alone would reach watt level in a 50/50 mix. But the d+d rate always matches or exceeds it (by up to 3.7 orders in peak rate), and keeping x</w:t>
      </w:r>
      <w:r>
        <w:rPr>
          <w:vertAlign w:val="subscript"/>
        </w:rPr>
        <w:t xml:space="preserve">D</w:t>
      </w:r>
      <w:r>
        <w:t xml:space="preserve">²Γ</w:t>
      </w:r>
      <w:r>
        <w:rPr>
          <w:vertAlign w:val="subscript"/>
        </w:rPr>
        <w:t xml:space="preserve">dd</w:t>
      </w:r>
      <w:r>
        <w:t xml:space="preserve"> </w:t>
      </w:r>
      <w:r>
        <w:t xml:space="preserve">below the neutron limit forces the deuterium fraction down to x</w:t>
      </w:r>
      <w:r>
        <w:rPr>
          <w:vertAlign w:val="subscript"/>
        </w:rPr>
        <w:t xml:space="preserve">D</w:t>
      </w:r>
      <w:r>
        <w:t xml:space="preserve"> </w:t>
      </w:r>
      <w:r>
        <w:t xml:space="preserve">≈ 10⁻¹⁵–10⁻⁷.</w:t>
      </w:r>
      <w:r>
        <w:t xml:space="preserve"> </w:t>
      </w:r>
      <w:r>
        <w:rPr>
          <w:bCs/>
          <w:b/>
        </w:rPr>
        <w:t xml:space="preserve">No variant has a window:</w:t>
      </w:r>
      <w:r>
        <w:t xml:space="preserve"> </w:t>
      </w:r>
      <w:r>
        <w:t xml:space="preserve">at the neutron-allowed x</w:t>
      </w:r>
      <w:r>
        <w:rPr>
          <w:vertAlign w:val="subscript"/>
        </w:rPr>
        <w:t xml:space="preserve">D</w:t>
      </w:r>
      <w:r>
        <w:t xml:space="preserve">, p+d falls at least 2.8 orders short of watts, and 3.3–19 orders in the other variants. Escaping this would require a lattice that suppresses d–d pairing ≳4×10⁵-fold below random H/D mixing. 1 W of p+d would also emit ~10¹² gammas per second. Disposing of fusion energy without any radiation would require the reaction energy to go directly into the lattice. For any process through the excited ⁴He compound nucleus, suppressing neutrons even by 10⁻³ requires a lattice decay width exceeding the 23.85 MeV transition energy, and coherent transfer is causality-limited (light travels &lt;0.003 Å in the compound lifetime). We do not consider such channels further.</w:t>
      </w:r>
    </w:p>
    <w:bookmarkEnd w:id="38"/>
    <w:bookmarkStart w:id="39" w:name="X701717743c9fc5d52294bace499374af9d68d74"/>
    <w:p>
      <w:pPr>
        <w:pStyle w:val="Heading2"/>
      </w:pPr>
      <w:r>
        <w:t xml:space="preserve">3.6 Is keV screening a depth-profile artifact, and does the screening shape matter?</w:t>
      </w:r>
    </w:p>
    <w:p>
      <w:pPr>
        <w:pStyle w:val="FirstParagraph"/>
      </w:pPr>
      <w:r>
        <w:t xml:space="preserve">The beam values could be inflated if the target holds more deuterium near the surface: low-energy beams react closer to the surface. We reproduced the analysis of Karahadian et al. [2026]: thick-target yields, normalised at E</w:t>
      </w:r>
      <w:r>
        <w:rPr>
          <w:vertAlign w:val="subscript"/>
        </w:rPr>
        <w:t xml:space="preserve">cm</w:t>
      </w:r>
      <w:r>
        <w:t xml:space="preserve"> </w:t>
      </w:r>
      <w:r>
        <w:t xml:space="preserve">= 6.5 keV, with a constant U</w:t>
      </w:r>
      <w:r>
        <w:rPr>
          <w:vertAlign w:val="subscript"/>
        </w:rPr>
        <w:t xml:space="preserve">e</w:t>
      </w:r>
      <w:r>
        <w:t xml:space="preserve"> </w:t>
      </w:r>
      <w:r>
        <w:t xml:space="preserve">fitted over 2.5–6.5 keV and stopping S∝ E</w:t>
      </w:r>
      <w:r>
        <w:rPr>
          <w:vertAlign w:val="superscript"/>
        </w:rPr>
        <w:t xml:space="preserve">p</w:t>
      </w:r>
      <w:r>
        <w:t xml:space="preserve">, p = 0.3–0.7. We applied it to targets with</w:t>
      </w:r>
      <w:r>
        <w:t xml:space="preserve"> </w:t>
      </w:r>
      <w:r>
        <w:rPr>
          <w:bCs/>
          <w:b/>
        </w:rPr>
        <w:t xml:space="preserve">no</w:t>
      </w:r>
      <w:r>
        <w:t xml:space="preserve"> </w:t>
      </w:r>
      <w:r>
        <w:t xml:space="preserve">screening and an arbitrary near-surface excess (notebook 13). Yield is linear in the deuterium density, and the low-energy beam always loses relatively more energy per unit depth. The largest apparent U</w:t>
      </w:r>
      <w:r>
        <w:rPr>
          <w:vertAlign w:val="subscript"/>
        </w:rPr>
        <w:t xml:space="preserve">e</w:t>
      </w:r>
      <w:r>
        <w:t xml:space="preserve"> </w:t>
      </w:r>
      <w:r>
        <w:t xml:space="preserve">any non-negative profile can produce is therefore the thin-target limit,</w:t>
      </w:r>
      <w:r>
        <w:t xml:space="preserve"> </w:t>
      </w:r>
      <w:r>
        <w:rPr>
          <w:bCs/>
          <w:b/>
        </w:rPr>
        <w:t xml:space="preserve">0.28–0.44 keV</w:t>
      </w:r>
      <w:r>
        <w:t xml:space="preserve">. A tenfold excess in a layer 1–5% of the beam range fakes only 0.09–0.19 keV. Even under that extreme artifact, the reported values need genuine enhancement of at least 1.15–1.47 keV (PdD), 0.41–0.61 keV (TiD) and 0.32–0.51 keV (Pd). Depth profiles can explain a few hundred eV, but not the keV values. The sub-keV plateau, which no constant U</w:t>
      </w:r>
      <w:r>
        <w:rPr>
          <w:vertAlign w:val="subscript"/>
        </w:rPr>
        <w:t xml:space="preserve">e</w:t>
      </w:r>
      <w:r>
        <w:t xml:space="preserve"> </w:t>
      </w:r>
      <w:r>
        <w:t xml:space="preserve">describes, is outside this analysis.</w:t>
      </w:r>
    </w:p>
    <w:p>
      <w:pPr>
        <w:pStyle w:val="BodyText"/>
      </w:pPr>
      <w:r>
        <w:t xml:space="preserve">We also replaced beam matching at 0.004 Å by a fit to the data: the strength Δ U was solved so that the WKB enhancement of each profile, put through the same thick-target fit, returns the reported U</w:t>
      </w:r>
      <w:r>
        <w:rPr>
          <w:vertAlign w:val="subscript"/>
        </w:rPr>
        <w:t xml:space="preserve">e</w:t>
      </w:r>
      <w:r>
        <w:t xml:space="preserve">. The fitted strength agrees with the beam-matched one within 4% for ℓ ≥ 0.01 Å and within 2–19% at 0.004 Å. The neutron-limit crossings at 2.75 Å are unchanged to grid resolution: at 1.7 keV they are 0.0045 Å (Yukawa), 0.118 Å (exponential) and 0.266 Å (Gaussian). The published fit constrains the shape only weakly, because a ±0.2 keV change in U</w:t>
      </w:r>
      <w:r>
        <w:rPr>
          <w:vertAlign w:val="subscript"/>
        </w:rPr>
        <w:t xml:space="preserve">e</w:t>
      </w:r>
      <w:r>
        <w:t xml:space="preserve"> </w:t>
      </w:r>
      <w:r>
        <w:t xml:space="preserve">moves the relative yields by 33–50%. Only ranges at the turning-point scale (≲0.003–0.0045 Å, depending on shape) are excluded. Claim A therefore does not depend on how the screening strength is matched to the beam data.</w:t>
      </w:r>
    </w:p>
    <w:bookmarkEnd w:id="39"/>
    <w:bookmarkEnd w:id="40"/>
    <w:bookmarkStart w:id="41" w:name="relation-to-prior-work"/>
    <w:p>
      <w:pPr>
        <w:pStyle w:val="Heading1"/>
      </w:pPr>
      <w:r>
        <w:t xml:space="preserve">4. Relation to prior work</w:t>
      </w:r>
    </w:p>
    <w:p>
      <w:pPr>
        <w:pStyle w:val="FirstParagraph"/>
      </w:pPr>
      <w:r>
        <w:rPr>
          <w:bCs/>
          <w:b/>
        </w:rPr>
        <w:t xml:space="preserve">Leggett &amp; Baym [1989]</w:t>
      </w:r>
      <w:r>
        <w:t xml:space="preserve"> </w:t>
      </w:r>
      <w:r>
        <w:t xml:space="preserve">showed that, at equilibrium, the d–d tunneling rate is bounded by its Born–Oppenheimer value. Strictly, then, the anomalous screening cannot act on deuterons in equilibrium at rest at all. Our analysis is complementary. It does not assume equilibrium or a particular microscopic mechanism; it takes the</w:t>
      </w:r>
      <w:r>
        <w:t xml:space="preserve"> </w:t>
      </w:r>
      <w:r>
        <w:rPr>
          <w:iCs/>
          <w:i/>
        </w:rPr>
        <w:t xml:space="preserve">measured</w:t>
      </w:r>
      <w:r>
        <w:t xml:space="preserve"> </w:t>
      </w:r>
      <w:r>
        <w:t xml:space="preserve">beam anomaly at face value, allows it to extend to rest with an unknown range, and asks what the null searches allow. The answer, a range of order 0.01–0.3 Å and at most the beam turning point for keV screening, is an empirical constraint that holds even if the equilibrium assumption fails (e.g. under loading or irradiation). Leggett &amp; Baym also argued that strongly reduced short-range repulsion would bind alpha particles to the metal more strongly; our short-range bound states (binding of order eV) would face the same thermochemical test.</w:t>
      </w:r>
    </w:p>
    <w:p>
      <w:pPr>
        <w:pStyle w:val="BodyText"/>
      </w:pPr>
      <w:r>
        <w:rPr>
          <w:bCs/>
          <w:b/>
        </w:rPr>
        <w:t xml:space="preserve">Czerski, Heide &amp; Huke [2006]</w:t>
      </w:r>
      <w:r>
        <w:t xml:space="preserve"> </w:t>
      </w:r>
      <w:r>
        <w:t xml:space="preserve">extrapolated effective screening energies to cold-fusion energies and compared them with positive electrolysis claims; we instead model the range of the screening and confront it with null data.</w:t>
      </w:r>
      <w:r>
        <w:t xml:space="preserve"> </w:t>
      </w:r>
      <w:r>
        <w:rPr>
          <w:bCs/>
          <w:b/>
        </w:rPr>
        <w:t xml:space="preserve">Parmenter &amp; Lamb [1989]</w:t>
      </w:r>
      <w:r>
        <w:t xml:space="preserve"> </w:t>
      </w:r>
      <w:r>
        <w:t xml:space="preserve">estimated ~10⁻³⁰ s⁻¹ from conduction-electron screening.</w:t>
      </w:r>
      <w:r>
        <w:t xml:space="preserve"> </w:t>
      </w:r>
      <w:r>
        <w:rPr>
          <w:bCs/>
          <w:b/>
        </w:rPr>
        <w:t xml:space="preserve">Huke et al. [2008]</w:t>
      </w:r>
      <w:r>
        <w:t xml:space="preserve"> </w:t>
      </w:r>
      <w:r>
        <w:t xml:space="preserve">and the Lipoglavšek group identified target and depth-profile effects in U</w:t>
      </w:r>
      <w:r>
        <w:rPr>
          <w:vertAlign w:val="subscript"/>
        </w:rPr>
        <w:t xml:space="preserve">e</w:t>
      </w:r>
      <w:r>
        <w:t xml:space="preserve"> </w:t>
      </w:r>
      <w:r>
        <w:t xml:space="preserve">extraction, which motivate experiment E3. Our §3.6 shows that such effects are bounded at ≲0.44 keV under the published fitting procedure. The sub-keV plateau of</w:t>
      </w:r>
      <w:r>
        <w:t xml:space="preserve"> </w:t>
      </w:r>
      <w:r>
        <w:rPr>
          <w:bCs/>
          <w:b/>
        </w:rPr>
        <w:t xml:space="preserve">Karahadian et al. [2026]</w:t>
      </w:r>
      <w:r>
        <w:t xml:space="preserve"> </w:t>
      </w:r>
      <w:r>
        <w:t xml:space="preserve">(&gt;10¹⁸ above bare-nucleus expectations at 0.25 keV beam energy) is not described by a constant U</w:t>
      </w:r>
      <w:r>
        <w:rPr>
          <w:vertAlign w:val="subscript"/>
        </w:rPr>
        <w:t xml:space="preserve">e</w:t>
      </w:r>
      <w:r>
        <w:t xml:space="preserve">, as the authors note; our bounds use their fitted values above 2.5 keV.</w:t>
      </w:r>
    </w:p>
    <w:bookmarkEnd w:id="41"/>
    <w:bookmarkStart w:id="42" w:name="proposed-experiments"/>
    <w:p>
      <w:pPr>
        <w:pStyle w:val="Heading1"/>
      </w:pPr>
      <w:r>
        <w:t xml:space="preserve">5. Proposed experiments</w:t>
      </w:r>
    </w:p>
    <w:p>
      <w:pPr>
        <w:pStyle w:val="FirstParagraph"/>
      </w:pPr>
      <w:r>
        <w:rPr>
          <w:bCs/>
          <w:b/>
        </w:rPr>
        <w:t xml:space="preserve">E1: gamma search for p+d fusion at rest.</w:t>
      </w:r>
      <w:r>
        <w:t xml:space="preserve"> </w:t>
      </w:r>
      <w:r>
        <w:t xml:space="preserve">A 10 g Pd foil co-loaded with H and D (0.45/0.45), with steady and cycled loading, a shielded HPGe/LaBr₃ detector with muon veto, and H-only, D-only and unloaded controls; 30 days. With assumed backgrounds this reaches ~10⁻²⁶ (surface) and 4×10⁻²⁸ (underground) per p–d pair per s, excluding screening ranges ≳0.12–0.16 Å for 300–575 eV in a channel the neutron searches did not cover.</w:t>
      </w:r>
    </w:p>
    <w:p>
      <w:pPr>
        <w:pStyle w:val="BodyText"/>
      </w:pPr>
      <w:r>
        <w:rPr>
          <w:bCs/>
          <w:b/>
        </w:rPr>
        <w:t xml:space="preserve">E2: heavy-fermion screening with a temperature switch.</w:t>
      </w:r>
      <w:r>
        <w:t xml:space="preserve"> </w:t>
      </w:r>
      <w:r>
        <w:t xml:space="preserve">d(d,p)t at E</w:t>
      </w:r>
      <w:r>
        <w:rPr>
          <w:vertAlign w:val="subscript"/>
        </w:rPr>
        <w:t xml:space="preserve">d</w:t>
      </w:r>
      <w:r>
        <w:t xml:space="preserve"> </w:t>
      </w:r>
      <w:r>
        <w:t xml:space="preserve">= 5–30 keV on a deuterium-implanted heavy-fermion compound (Ce- or Yb-based) and its non-f analogue, at 4 K and 300 K, with in-situ depth profiling (ERDA). A</w:t>
      </w:r>
      <w:r>
        <w:t xml:space="preserve"> </w:t>
      </w:r>
      <w:r>
        <w:t xml:space="preserve">“</w:t>
      </w:r>
      <w:r>
        <w:t xml:space="preserve">heavy-electron</w:t>
      </w:r>
      <w:r>
        <w:t xml:space="preserve">”</w:t>
      </w:r>
      <w:r>
        <w:t xml:space="preserve"> </w:t>
      </w:r>
      <w:r>
        <w:t xml:space="preserve">origin of the anomaly predicts a large rise only below the coherence temperature; standard theory predicts no change. About 6 h per point at 10 μA.</w:t>
      </w:r>
    </w:p>
    <w:p>
      <w:pPr>
        <w:pStyle w:val="BodyText"/>
      </w:pPr>
      <w:r>
        <w:rPr>
          <w:bCs/>
          <w:b/>
        </w:rPr>
        <w:t xml:space="preserve">E3: same-target p+d vs d+d screening.</w:t>
      </w:r>
      <w:r>
        <w:t xml:space="preserve"> </w:t>
      </w:r>
      <w:r>
        <w:t xml:space="preserve">Alternating H⁺/D⁺ beams matched in stopping range on one deuterated target separate true electron screening (equal U</w:t>
      </w:r>
      <w:r>
        <w:rPr>
          <w:vertAlign w:val="subscript"/>
        </w:rPr>
        <w:t xml:space="preserve">e</w:t>
      </w:r>
      <w:r>
        <w:t xml:space="preserve">), depth-profile artifacts (range-dependent) and a d+d-specific nuclear resonance (U</w:t>
      </w:r>
      <w:r>
        <w:rPr>
          <w:vertAlign w:val="subscript"/>
        </w:rPr>
        <w:t xml:space="preserve">e</w:t>
      </w:r>
      <w:r>
        <w:rPr>
          <w:vertAlign w:val="superscript"/>
        </w:rPr>
        <w:t xml:space="preserve">dd</w:t>
      </w:r>
      <w:r>
        <w:t xml:space="preserve"> </w:t>
      </w:r>
      <w:r>
        <w:t xml:space="preserve">&gt; U</w:t>
      </w:r>
      <w:r>
        <w:rPr>
          <w:vertAlign w:val="subscript"/>
        </w:rPr>
        <w:t xml:space="preserve">e</w:t>
      </w:r>
      <w:r>
        <w:rPr>
          <w:vertAlign w:val="superscript"/>
        </w:rPr>
        <w:t xml:space="preserve">pd</w:t>
      </w:r>
      <w:r>
        <w:t xml:space="preserve">). A 5σ answer needs ~2.6% p+d statistics, about 1.5 days per point at 1 mA.</w:t>
      </w:r>
    </w:p>
    <w:bookmarkEnd w:id="42"/>
    <w:bookmarkStart w:id="43" w:name="limitations"/>
    <w:p>
      <w:pPr>
        <w:pStyle w:val="Heading1"/>
      </w:pPr>
      <w:r>
        <w:t xml:space="preserve">6. Limitations</w:t>
      </w:r>
    </w:p>
    <w:p>
      <w:pPr>
        <w:numPr>
          <w:ilvl w:val="0"/>
          <w:numId w:val="1001"/>
        </w:numPr>
        <w:pStyle w:val="Compact"/>
      </w:pPr>
      <w:r>
        <w:t xml:space="preserve">The screening profiles are phenomenological; four shapes span short- and long-tailed behaviour but are not derived. (ii) The lattice pair is a single radial pair; anisotropy, many-body exchange and specific defect geometries are not modelled, although lattice stiffness and spacing affect the bound only weakly. (iii) The bound relies on one null measurement [Aberdam et al. 1990]; the weaker limit of Badurek et al. (3.6×10⁻²³) loosens it only slightly. (iv) Several literature inputs were verified at abstract level; the repository’s VERIFICATION.md lists the status of each. (v) The p+d analysis assumes random H/D occupancy; a lattice with strongly preferential p–d pairing is not excluded. (vi) The depth-artifact analysis (§3.6) uses a constant S-factor and power-law stopping, and the shape constraint uses a proxy for the published uncertainties, because the individual data points are not tabulated.</w:t>
      </w:r>
    </w:p>
    <w:bookmarkEnd w:id="43"/>
    <w:bookmarkStart w:id="44" w:name="conclusions"/>
    <w:p>
      <w:pPr>
        <w:pStyle w:val="Heading1"/>
      </w:pPr>
      <w:r>
        <w:t xml:space="preserve">7. Conclusions</w:t>
      </w:r>
    </w:p>
    <w:p>
      <w:pPr>
        <w:numPr>
          <w:ilvl w:val="0"/>
          <w:numId w:val="1002"/>
        </w:numPr>
        <w:pStyle w:val="Compact"/>
      </w:pPr>
      <w:r>
        <w:t xml:space="preserve">Matching the measured beam screening (0.3–2.0 keV) and extending it to deuterons at rest, the null neutron searches bound its range to</w:t>
      </w:r>
      <w:r>
        <w:t xml:space="preserve"> </w:t>
      </w:r>
      <w:r>
        <w:rPr>
          <w:bCs/>
          <w:b/>
        </w:rPr>
        <w:t xml:space="preserve">≈0.003–0.3 Å</w:t>
      </w:r>
      <w:r>
        <w:t xml:space="preserve">; for keV screening with a long-tailed profile, to the beam turning point itself.</w:t>
      </w:r>
    </w:p>
    <w:p>
      <w:pPr>
        <w:numPr>
          <w:ilvl w:val="0"/>
          <w:numId w:val="1002"/>
        </w:numPr>
        <w:pStyle w:val="Compact"/>
      </w:pPr>
      <w:r>
        <w:t xml:space="preserve">In every model variant, rates approaching 1 W cm⁻³ lie inside the region already excluded by the neutron searches:</w:t>
      </w:r>
      <w:r>
        <w:t xml:space="preserve"> </w:t>
      </w:r>
      <w:r>
        <w:rPr>
          <w:bCs/>
          <w:b/>
        </w:rPr>
        <w:t xml:space="preserve">watts imply neutrons.</w:t>
      </w:r>
    </w:p>
    <w:p>
      <w:pPr>
        <w:numPr>
          <w:ilvl w:val="0"/>
          <w:numId w:val="1002"/>
        </w:numPr>
        <w:pStyle w:val="Compact"/>
      </w:pPr>
      <w:r>
        <w:t xml:space="preserve">Neutron-free p+d fusion offers no escape: up to 2 keV screening, keeping coexisting d+d pairs below the neutron limit leaves p+d at least 2.8 orders short of watts.</w:t>
      </w:r>
    </w:p>
    <w:p>
      <w:pPr>
        <w:numPr>
          <w:ilvl w:val="0"/>
          <w:numId w:val="1002"/>
        </w:numPr>
        <w:pStyle w:val="Compact"/>
      </w:pPr>
      <w:r>
        <w:t xml:space="preserve">Depth-profile artifacts cannot produce keV screening under the published fitting procedure (≤0.44 keV), and fitting the screening shape to the data leaves the bound unchanged.</w:t>
      </w:r>
    </w:p>
    <w:p>
      <w:pPr>
        <w:numPr>
          <w:ilvl w:val="0"/>
          <w:numId w:val="1002"/>
        </w:numPr>
        <w:pStyle w:val="Compact"/>
      </w:pPr>
      <w:r>
        <w:t xml:space="preserve">The anomaly is therefore either confined to short range (and irrelevant at rest), or it is something other than static screening, which experiments E1–E3 are designed to tell apart.</w:t>
      </w:r>
    </w:p>
    <w:p>
      <w:pPr>
        <w:pStyle w:val="FirstParagraph"/>
      </w:pPr>
      <w:r>
        <w:rPr>
          <w:bCs/>
          <w:b/>
        </w:rPr>
        <w:t xml:space="preserve">Data and code availability.</w:t>
      </w:r>
      <w:r>
        <w:t xml:space="preserve"> </w:t>
      </w:r>
      <w:r>
        <w:t xml:space="preserve">Notebooks (03, 04, 04b, 05b and 13 reproduce every number here), the solver</w:t>
      </w:r>
      <w:r>
        <w:t xml:space="preserve"> </w:t>
      </w:r>
      <w:r>
        <w:rPr>
          <w:rStyle w:val="VerbatimChar"/>
        </w:rPr>
        <w:t xml:space="preserve">cfsolve.py</w:t>
      </w:r>
      <w:r>
        <w:t xml:space="preserve">, a claim-checking tool and figures: https://github.com/m1110/cold-fusion-gap</w:t>
      </w:r>
    </w:p>
    <w:p>
      <w:pPr>
        <w:pStyle w:val="BodyText"/>
      </w:pPr>
      <w:r>
        <w:rPr>
          <w:bCs/>
          <w:b/>
        </w:rPr>
        <w:t xml:space="preserve">Acknowledgements.</w:t>
      </w:r>
      <w:r>
        <w:t xml:space="preserve"> </w:t>
      </w:r>
      <w:r>
        <w:t xml:space="preserve">Analysis code and drafting were assisted by an AI model (Claude, Anthropic); all results are reproducible from the repository.</w:t>
      </w:r>
    </w:p>
    <w:bookmarkEnd w:id="44"/>
    <w:bookmarkStart w:id="45" w:name="X123ca237e9738b9b2c63123fe4f17b9bcc7cbef"/>
    <w:p>
      <w:pPr>
        <w:pStyle w:val="Heading1"/>
      </w:pPr>
      <w:r>
        <w:t xml:space="preserve">References (to be completed and checked against primary sources)</w:t>
      </w:r>
    </w:p>
    <w:p>
      <w:pPr>
        <w:numPr>
          <w:ilvl w:val="0"/>
          <w:numId w:val="1003"/>
        </w:numPr>
        <w:pStyle w:val="Compact"/>
      </w:pPr>
      <w:r>
        <w:t xml:space="preserve">Aberdam D. et al., Phys. Rev. Lett. 65, 1196 (1990).</w:t>
      </w:r>
    </w:p>
    <w:p>
      <w:pPr>
        <w:numPr>
          <w:ilvl w:val="0"/>
          <w:numId w:val="1003"/>
        </w:numPr>
        <w:pStyle w:val="Compact"/>
      </w:pPr>
      <w:r>
        <w:t xml:space="preserve">Badurek G. et al. (1989), limits on d+d fusion in Pd and Ti.</w:t>
      </w:r>
    </w:p>
    <w:p>
      <w:pPr>
        <w:numPr>
          <w:ilvl w:val="0"/>
          <w:numId w:val="1003"/>
        </w:numPr>
        <w:pStyle w:val="Compact"/>
      </w:pPr>
      <w:r>
        <w:t xml:space="preserve">Berlinguette C. P. et al., Nature 570, 45 (2019).</w:t>
      </w:r>
    </w:p>
    <w:p>
      <w:pPr>
        <w:numPr>
          <w:ilvl w:val="0"/>
          <w:numId w:val="1003"/>
        </w:numPr>
        <w:pStyle w:val="Compact"/>
      </w:pPr>
      <w:r>
        <w:t xml:space="preserve">Bosch H.-S. &amp; Hale G. M., Nucl. Fusion 32, 611 (1992) (and erratum).</w:t>
      </w:r>
    </w:p>
    <w:p>
      <w:pPr>
        <w:numPr>
          <w:ilvl w:val="0"/>
          <w:numId w:val="1003"/>
        </w:numPr>
        <w:pStyle w:val="Compact"/>
      </w:pPr>
      <w:r>
        <w:t xml:space="preserve">Chen K.-Y. et al., Nature 644, 640 (2025).</w:t>
      </w:r>
    </w:p>
    <w:p>
      <w:pPr>
        <w:numPr>
          <w:ilvl w:val="0"/>
          <w:numId w:val="1003"/>
        </w:numPr>
        <w:pStyle w:val="Compact"/>
      </w:pPr>
      <w:r>
        <w:t xml:space="preserve">Czerski K., Heide P. &amp; Huke A., in Condensed Matter Nuclear Science (ICCF11), 228 (2006).</w:t>
      </w:r>
    </w:p>
    <w:p>
      <w:pPr>
        <w:numPr>
          <w:ilvl w:val="0"/>
          <w:numId w:val="1003"/>
        </w:numPr>
        <w:pStyle w:val="Compact"/>
      </w:pPr>
      <w:r>
        <w:t xml:space="preserve">Czerski K. et al., EPL 113, 22001 (2016).</w:t>
      </w:r>
    </w:p>
    <w:p>
      <w:pPr>
        <w:numPr>
          <w:ilvl w:val="0"/>
          <w:numId w:val="1003"/>
        </w:numPr>
        <w:pStyle w:val="Compact"/>
      </w:pPr>
      <w:r>
        <w:t xml:space="preserve">Huke A., Czerski K. &amp; Heide P., arXiv:0805.4538 (2008).</w:t>
      </w:r>
    </w:p>
    <w:p>
      <w:pPr>
        <w:numPr>
          <w:ilvl w:val="0"/>
          <w:numId w:val="1003"/>
        </w:numPr>
        <w:pStyle w:val="Compact"/>
      </w:pPr>
      <w:r>
        <w:t xml:space="preserve">Jones S. E. et al., Nature 338, 737 (1989).</w:t>
      </w:r>
    </w:p>
    <w:p>
      <w:pPr>
        <w:numPr>
          <w:ilvl w:val="0"/>
          <w:numId w:val="1003"/>
        </w:numPr>
        <w:pStyle w:val="Compact"/>
      </w:pPr>
      <w:r>
        <w:t xml:space="preserve">Karahadian M. et al., Nat. Commun. 17, 8845 (2026), arXiv:2512.06212.</w:t>
      </w:r>
    </w:p>
    <w:p>
      <w:pPr>
        <w:numPr>
          <w:ilvl w:val="0"/>
          <w:numId w:val="1003"/>
        </w:numPr>
        <w:pStyle w:val="Compact"/>
      </w:pPr>
      <w:r>
        <w:t xml:space="preserve">Koonin S. E. &amp; Nauenberg M., Nature 339, 690 (1989).</w:t>
      </w:r>
    </w:p>
    <w:p>
      <w:pPr>
        <w:numPr>
          <w:ilvl w:val="0"/>
          <w:numId w:val="1003"/>
        </w:numPr>
        <w:pStyle w:val="Compact"/>
      </w:pPr>
      <w:r>
        <w:t xml:space="preserve">Leggett A. J. &amp; Baym G., Phys. Rev. Lett. 63, 191 (1989); Nature 340, 45 (1989).</w:t>
      </w:r>
    </w:p>
    <w:p>
      <w:pPr>
        <w:numPr>
          <w:ilvl w:val="0"/>
          <w:numId w:val="1003"/>
        </w:numPr>
        <w:pStyle w:val="Compact"/>
      </w:pPr>
      <w:r>
        <w:t xml:space="preserve">Pachucki K., Phys. Rev. A 82, 032509 (2010), arXiv:1007.0322.</w:t>
      </w:r>
    </w:p>
    <w:p>
      <w:pPr>
        <w:numPr>
          <w:ilvl w:val="0"/>
          <w:numId w:val="1003"/>
        </w:numPr>
        <w:pStyle w:val="Compact"/>
      </w:pPr>
      <w:r>
        <w:t xml:space="preserve">Parmenter R. H. &amp; Lamb W. E., Proc. Natl. Acad. Sci. USA 86, 8614 (1989).</w:t>
      </w:r>
    </w:p>
    <w:p>
      <w:pPr>
        <w:numPr>
          <w:ilvl w:val="0"/>
          <w:numId w:val="1003"/>
        </w:numPr>
        <w:pStyle w:val="Compact"/>
      </w:pPr>
      <w:r>
        <w:t xml:space="preserve">Raiola F. et al., Eur. Phys. J. A 13, 377 (2002); 19, 283 (2004).</w:t>
      </w:r>
    </w:p>
    <w:p>
      <w:pPr>
        <w:numPr>
          <w:ilvl w:val="0"/>
          <w:numId w:val="1003"/>
        </w:numPr>
        <w:pStyle w:val="Compact"/>
      </w:pPr>
      <w:r>
        <w:t xml:space="preserve">Sun Z. &amp; Tománek D., Phys. Rev. Lett. 63, 59 (1989).</w:t>
      </w:r>
    </w:p>
    <w:p>
      <w:pPr>
        <w:numPr>
          <w:ilvl w:val="0"/>
          <w:numId w:val="1003"/>
        </w:numPr>
        <w:pStyle w:val="Compact"/>
      </w:pPr>
      <w:r>
        <w:t xml:space="preserve">Zhou J. et al., Chin. Phys. Lett. (2006), d(d,γ)⁴He branching at 20 keV.</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far can anomalous electron screening reach at rest? Constraints from beam measurements and null neutron searches</dc:title>
  <dc:creator>[Author names and affiliations to be added]</dc:creator>
  <cp:keywords/>
  <dcterms:created xsi:type="dcterms:W3CDTF">2026-10-13T14:56:18Z</dcterms:created>
  <dcterms:modified xsi:type="dcterms:W3CDTF">2026-10-13T14:56:18Z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Low-energy d(d,p)t measurements on deuterated metals imply electron screening energies Ue of 0.2–0.8 keV, rising to 1.7 keV in electrochemically loaded PdD (Karahadian et al. 2026), far above the ~25 eV of gas targets and atomic theory. These are beam measurements: they probe d–d separations below ~0.004 Å at keV energies. Whether the anomaly also acts on deuterons at rest in the lattice is open, and is what a room-temperature fusion effect would require. We answer it quantitatively. A log-grid Numerov solver for the d–d relative-motion ground state, using the Pachucki Born–Oppenheimer potential, reproduces the D₂, HD and H₂ binding energies to ≤0.001 eV and the published molecular fusion rates. We represent the anomalous screening as an extra potential -Δ U g(R/ℓ) of unknown range ℓ, with four profile shapes, its strength fixed by matching the measured Ue at the beam turning point, and compute the fusion rate of lattice deuteron pairs as a function of ℓ. The rate stays below 10⁻¹⁰⁰ s⁻¹ while the screening is short-ranged, then jumps when the extra attraction binds a new d–d state at 0.07–0.24 Å. (A) Requiring consistency with the null neutron limit for Pd and Ti at rest (&lt;2×10⁻²⁶ s⁻¹ per pair, 1990) bounds the range to ≈0.003–0.3 Å across 112 model variants (profile shape, lattice model, D–D spacing 0.94–2.75 Å, Ue = 0.17–2.0 keV). For keV-scale screening with a long-tailed profile the allowed range collapses to the beam turning point itself. The bound is unchanged when the screening strength is instead fitted through the published thick-target procedure. A near-surface deuterium excess can fake at most 0.28–0.44 keV, so the reported 1.7 keV is not a depth-profile artifact. (B) In every variant, rates approaching 1 W cm⁻³ occur only at ranges already excluded by the neutron limit: for screening-plus-confinement mechanisms, watts imply neutrons. We relate these results to the Leggett–Baym equilibrium bound and propose three experiments that test the remaining assumptions: a 5.5 MeV gamma search for neutron-free p+d fusion at rest, beam screening in a heavy-fermion compound with a temperature switch, and same-target p+d vs d+d screening.</vt:lpwstr>
  </property>
  <property fmtid="{D5CDD505-2E9C-101B-9397-08002B2CF9AE}" pid="3" name="date">
    <vt:lpwstr>Draft, October 2026</vt:lpwstr>
  </property>
</Properties>
</file>