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Beyond</w:t>
      </w:r>
      <w:r>
        <w:t xml:space="preserve"> </w:t>
      </w:r>
      <w:r>
        <w:t xml:space="preserve">fusion</w:t>
      </w:r>
      <w:r>
        <w:t xml:space="preserve"> </w:t>
      </w:r>
      <w:r>
        <w:t xml:space="preserve">at</w:t>
      </w:r>
      <w:r>
        <w:t xml:space="preserve"> </w:t>
      </w:r>
      <w:r>
        <w:t xml:space="preserve">rest:</w:t>
      </w:r>
      <w:r>
        <w:t xml:space="preserve"> </w:t>
      </w:r>
      <w:r>
        <w:t xml:space="preserve">energetic</w:t>
      </w:r>
      <w:r>
        <w:t xml:space="preserve"> </w:t>
      </w:r>
      <w:r>
        <w:t xml:space="preserve">deuterons</w:t>
      </w:r>
      <w:r>
        <w:t xml:space="preserve"> </w:t>
      </w:r>
      <w:r>
        <w:t xml:space="preserve">in</w:t>
      </w:r>
      <w:r>
        <w:t xml:space="preserve"> </w:t>
      </w:r>
      <w:r>
        <w:t xml:space="preserve">metals,</w:t>
      </w:r>
      <w:r>
        <w:t xml:space="preserve"> </w:t>
      </w:r>
      <w:r>
        <w:t xml:space="preserve">ignition,</w:t>
      </w:r>
      <w:r>
        <w:t xml:space="preserve"> </w:t>
      </w:r>
      <w:r>
        <w:t xml:space="preserve">and</w:t>
      </w:r>
      <w:r>
        <w:t xml:space="preserve"> </w:t>
      </w:r>
      <w:r>
        <w:t xml:space="preserve">low-waste</w:t>
      </w:r>
      <w:r>
        <w:t xml:space="preserve"> </w:t>
      </w:r>
      <w:r>
        <w:t xml:space="preserve">nuclear</w:t>
      </w:r>
      <w:r>
        <w:t xml:space="preserve"> </w:t>
      </w:r>
      <w:r>
        <w:t xml:space="preserve">options</w:t>
      </w:r>
    </w:p>
    <w:p>
      <w:pPr>
        <w:pStyle w:val="Author"/>
      </w:pPr>
      <w:r>
        <w:t xml:space="preserve">[Author</w:t>
      </w:r>
      <w:r>
        <w:t xml:space="preserve"> </w:t>
      </w:r>
      <w:r>
        <w:t xml:space="preserve">names</w:t>
      </w:r>
      <w:r>
        <w:t xml:space="preserve"> </w:t>
      </w:r>
      <w:r>
        <w:t xml:space="preserve">to</w:t>
      </w:r>
      <w:r>
        <w:t xml:space="preserve"> </w:t>
      </w:r>
      <w:r>
        <w:t xml:space="preserve">be</w:t>
      </w:r>
      <w:r>
        <w:t xml:space="preserve"> </w:t>
      </w:r>
      <w:r>
        <w:t xml:space="preserve">added]</w:t>
      </w:r>
    </w:p>
    <w:p>
      <w:pPr>
        <w:pStyle w:val="Date"/>
      </w:pPr>
      <w:r>
        <w:t xml:space="preserve">Technical</w:t>
      </w:r>
      <w:r>
        <w:t xml:space="preserve"> </w:t>
      </w:r>
      <w:r>
        <w:t xml:space="preserve">note,</w:t>
      </w:r>
      <w:r>
        <w:t xml:space="preserve"> </w:t>
      </w:r>
      <w:r>
        <w:t xml:space="preserve">October</w:t>
      </w:r>
      <w:r>
        <w:t xml:space="preserve"> </w:t>
      </w:r>
      <w:r>
        <w:t xml:space="preserve">2026</w:t>
      </w:r>
    </w:p>
    <w:p>
      <w:pPr>
        <w:pStyle w:val="AbstractTitle"/>
      </w:pPr>
      <w:r>
        <w:t xml:space="preserve">Abstract</w:t>
      </w:r>
    </w:p>
    <w:p>
      <w:pPr>
        <w:pStyle w:val="Abstract"/>
      </w:pPr>
      <w:r>
        <w:t xml:space="preserve">Fusion</w:t>
      </w:r>
      <w:r>
        <w:t xml:space="preserve"> </w:t>
      </w:r>
      <w:r>
        <w:t xml:space="preserve">of</w:t>
      </w:r>
      <w:r>
        <w:t xml:space="preserve"> </w:t>
      </w:r>
      <w:r>
        <w:t xml:space="preserve">deuterons</w:t>
      </w:r>
      <w:r>
        <w:t xml:space="preserve"> </w:t>
      </w:r>
      <w:r>
        <w:t xml:space="preserve">at</w:t>
      </w:r>
      <w:r>
        <w:t xml:space="preserve"> </w:t>
      </w:r>
      <w:r>
        <w:t xml:space="preserve">rest</w:t>
      </w:r>
      <w:r>
        <w:t xml:space="preserve"> </w:t>
      </w:r>
      <w:r>
        <w:t xml:space="preserve">in</w:t>
      </w:r>
      <w:r>
        <w:t xml:space="preserve"> </w:t>
      </w:r>
      <w:r>
        <w:t xml:space="preserve">metals</w:t>
      </w:r>
      <w:r>
        <w:t xml:space="preserve"> </w:t>
      </w:r>
      <w:r>
        <w:t xml:space="preserve">is</w:t>
      </w:r>
      <w:r>
        <w:t xml:space="preserve"> </w:t>
      </w:r>
      <w:r>
        <w:t xml:space="preserve">98–114</w:t>
      </w:r>
      <w:r>
        <w:t xml:space="preserve"> </w:t>
      </w:r>
      <w:r>
        <w:t xml:space="preserve">orders</w:t>
      </w:r>
      <w:r>
        <w:t xml:space="preserve"> </w:t>
      </w:r>
      <w:r>
        <w:t xml:space="preserve">of</w:t>
      </w:r>
      <w:r>
        <w:t xml:space="preserve"> </w:t>
      </w:r>
      <w:r>
        <w:t xml:space="preserve">magnitude</w:t>
      </w:r>
      <w:r>
        <w:t xml:space="preserve"> </w:t>
      </w:r>
      <w:r>
        <w:t xml:space="preserve">below</w:t>
      </w:r>
      <w:r>
        <w:t xml:space="preserve"> </w:t>
      </w:r>
      <w:r>
        <w:t xml:space="preserve">practical</w:t>
      </w:r>
      <w:r>
        <w:t xml:space="preserve"> </w:t>
      </w:r>
      <w:r>
        <w:t xml:space="preserve">rates,</w:t>
      </w:r>
      <w:r>
        <w:t xml:space="preserve"> </w:t>
      </w:r>
      <w:r>
        <w:t xml:space="preserve">and</w:t>
      </w:r>
      <w:r>
        <w:t xml:space="preserve"> </w:t>
      </w:r>
      <w:r>
        <w:t xml:space="preserve">the</w:t>
      </w:r>
      <w:r>
        <w:t xml:space="preserve"> </w:t>
      </w:r>
      <w:r>
        <w:t xml:space="preserve">anomalous</w:t>
      </w:r>
      <w:r>
        <w:t xml:space="preserve"> </w:t>
      </w:r>
      <w:r>
        <w:t xml:space="preserve">screening</w:t>
      </w:r>
      <w:r>
        <w:t xml:space="preserve"> </w:t>
      </w:r>
      <w:r>
        <w:t xml:space="preserve">seen</w:t>
      </w:r>
      <w:r>
        <w:t xml:space="preserve"> </w:t>
      </w:r>
      <w:r>
        <w:t xml:space="preserve">in</w:t>
      </w:r>
      <w:r>
        <w:t xml:space="preserve"> </w:t>
      </w:r>
      <w:r>
        <w:t xml:space="preserve">beam</w:t>
      </w:r>
      <w:r>
        <w:t xml:space="preserve"> </w:t>
      </w:r>
      <w:r>
        <w:t xml:space="preserve">experiments</w:t>
      </w:r>
      <w:r>
        <w:t xml:space="preserve"> </w:t>
      </w:r>
      <w:r>
        <w:t xml:space="preserve">cannot</w:t>
      </w:r>
      <w:r>
        <w:t xml:space="preserve"> </w:t>
      </w:r>
      <w:r>
        <w:t xml:space="preserve">close</w:t>
      </w:r>
      <w:r>
        <w:t xml:space="preserve"> </w:t>
      </w:r>
      <w:r>
        <w:t xml:space="preserve">the</w:t>
      </w:r>
      <w:r>
        <w:t xml:space="preserve"> </w:t>
      </w:r>
      <w:r>
        <w:t xml:space="preserve">gap</w:t>
      </w:r>
      <w:r>
        <w:t xml:space="preserve"> </w:t>
      </w:r>
      <w:r>
        <w:t xml:space="preserve">without</w:t>
      </w:r>
      <w:r>
        <w:t xml:space="preserve"> </w:t>
      </w:r>
      <w:r>
        <w:t xml:space="preserve">producing</w:t>
      </w:r>
      <w:r>
        <w:t xml:space="preserve"> </w:t>
      </w:r>
      <w:r>
        <w:t xml:space="preserve">neutrons</w:t>
      </w:r>
      <w:r>
        <w:t xml:space="preserve"> </w:t>
      </w:r>
      <w:r>
        <w:t xml:space="preserve">that</w:t>
      </w:r>
      <w:r>
        <w:t xml:space="preserve"> </w:t>
      </w:r>
      <w:r>
        <w:t xml:space="preserve">null</w:t>
      </w:r>
      <w:r>
        <w:t xml:space="preserve"> </w:t>
      </w:r>
      <w:r>
        <w:t xml:space="preserve">searches</w:t>
      </w:r>
      <w:r>
        <w:t xml:space="preserve"> </w:t>
      </w:r>
      <w:r>
        <w:t xml:space="preserve">exclude</w:t>
      </w:r>
      <w:r>
        <w:t xml:space="preserve"> </w:t>
      </w:r>
      <w:r>
        <w:t xml:space="preserve">(companion</w:t>
      </w:r>
      <w:r>
        <w:t xml:space="preserve"> </w:t>
      </w:r>
      <w:r>
        <w:t xml:space="preserve">preprint).</w:t>
      </w:r>
      <w:r>
        <w:t xml:space="preserve"> </w:t>
      </w:r>
      <w:r>
        <w:t xml:space="preserve">This</w:t>
      </w:r>
      <w:r>
        <w:t xml:space="preserve"> </w:t>
      </w:r>
      <w:r>
        <w:t xml:space="preserve">note</w:t>
      </w:r>
      <w:r>
        <w:t xml:space="preserve"> </w:t>
      </w:r>
      <w:r>
        <w:t xml:space="preserve">surveys</w:t>
      </w:r>
      <w:r>
        <w:t xml:space="preserve"> </w:t>
      </w:r>
      <w:r>
        <w:t xml:space="preserve">the</w:t>
      </w:r>
      <w:r>
        <w:t xml:space="preserve"> </w:t>
      </w:r>
      <w:r>
        <w:t xml:space="preserve">remaining</w:t>
      </w:r>
      <w:r>
        <w:t xml:space="preserve"> </w:t>
      </w:r>
      <w:r>
        <w:t xml:space="preserve">paths.</w:t>
      </w:r>
      <w:r>
        <w:t xml:space="preserve"> </w:t>
      </w:r>
      <w:r>
        <w:t xml:space="preserve">(1)</w:t>
      </w:r>
      <w:r>
        <w:t xml:space="preserve"> </w:t>
      </w:r>
      <w:r>
        <w:rPr>
          <w:bCs/>
          <w:b/>
        </w:rPr>
        <w:t xml:space="preserve">Energetic</w:t>
      </w:r>
      <w:r>
        <w:rPr>
          <w:bCs/>
          <w:b/>
        </w:rPr>
        <w:t xml:space="preserve"> </w:t>
      </w:r>
      <w:r>
        <w:rPr>
          <w:bCs/>
          <w:b/>
        </w:rPr>
        <w:t xml:space="preserve">deuterons</w:t>
      </w:r>
      <w:r>
        <w:rPr>
          <w:bCs/>
          <w:b/>
        </w:rPr>
        <w:t xml:space="preserve"> </w:t>
      </w:r>
      <w:r>
        <w:rPr>
          <w:bCs/>
          <w:b/>
        </w:rPr>
        <w:t xml:space="preserve">inside</w:t>
      </w:r>
      <w:r>
        <w:rPr>
          <w:bCs/>
          <w:b/>
        </w:rPr>
        <w:t xml:space="preserve"> </w:t>
      </w:r>
      <w:r>
        <w:rPr>
          <w:bCs/>
          <w:b/>
        </w:rPr>
        <w:t xml:space="preserve">metals</w:t>
      </w:r>
      <w:r>
        <w:t xml:space="preserve"> </w:t>
      </w:r>
      <w:r>
        <w:t xml:space="preserve">(lattice</w:t>
      </w:r>
      <w:r>
        <w:t xml:space="preserve"> </w:t>
      </w:r>
      <w:r>
        <w:t xml:space="preserve">confinement</w:t>
      </w:r>
      <w:r>
        <w:t xml:space="preserve"> </w:t>
      </w:r>
      <w:r>
        <w:t xml:space="preserve">fusion,</w:t>
      </w:r>
      <w:r>
        <w:t xml:space="preserve"> </w:t>
      </w:r>
      <w:r>
        <w:t xml:space="preserve">beam-loaded</w:t>
      </w:r>
      <w:r>
        <w:t xml:space="preserve"> </w:t>
      </w:r>
      <w:r>
        <w:t xml:space="preserve">PdD):</w:t>
      </w:r>
      <w:r>
        <w:t xml:space="preserve"> </w:t>
      </w:r>
      <w:r>
        <w:t xml:space="preserve">a</w:t>
      </w:r>
      <w:r>
        <w:t xml:space="preserve"> </w:t>
      </w:r>
      <w:r>
        <w:t xml:space="preserve">slowing-down</w:t>
      </w:r>
      <w:r>
        <w:t xml:space="preserve"> </w:t>
      </w:r>
      <w:r>
        <w:t xml:space="preserve">calculation</w:t>
      </w:r>
      <w:r>
        <w:t xml:space="preserve"> </w:t>
      </w:r>
      <w:r>
        <w:t xml:space="preserve">gives</w:t>
      </w:r>
      <w:r>
        <w:t xml:space="preserve"> </w:t>
      </w:r>
      <w:r>
        <w:t xml:space="preserve">an</w:t>
      </w:r>
      <w:r>
        <w:t xml:space="preserve"> </w:t>
      </w:r>
      <w:r>
        <w:t xml:space="preserve">energy</w:t>
      </w:r>
      <w:r>
        <w:t xml:space="preserve"> </w:t>
      </w:r>
      <w:r>
        <w:t xml:space="preserve">return</w:t>
      </w:r>
      <w:r>
        <w:t xml:space="preserve"> </w:t>
      </w:r>
      <w:r>
        <w:t xml:space="preserve">of</w:t>
      </w:r>
      <w:r>
        <w:t xml:space="preserve"> </w:t>
      </w:r>
      <w:r>
        <w:t xml:space="preserve">at</w:t>
      </w:r>
      <w:r>
        <w:t xml:space="preserve"> </w:t>
      </w:r>
      <w:r>
        <w:t xml:space="preserve">most</w:t>
      </w:r>
      <w:r>
        <w:t xml:space="preserve"> </w:t>
      </w:r>
      <w:r>
        <w:t xml:space="preserve">~3×10⁻⁵</w:t>
      </w:r>
      <w:r>
        <w:t xml:space="preserve"> </w:t>
      </w:r>
      <w:r>
        <w:t xml:space="preserve">per</w:t>
      </w:r>
      <w:r>
        <w:t xml:space="preserve"> </w:t>
      </w:r>
      <w:r>
        <w:t xml:space="preserve">deuteron</w:t>
      </w:r>
      <w:r>
        <w:t xml:space="preserve"> </w:t>
      </w:r>
      <w:r>
        <w:t xml:space="preserve">in</w:t>
      </w:r>
      <w:r>
        <w:t xml:space="preserve"> </w:t>
      </w:r>
      <w:r>
        <w:t xml:space="preserve">PdD</w:t>
      </w:r>
      <w:r>
        <w:t xml:space="preserve"> </w:t>
      </w:r>
      <w:r>
        <w:t xml:space="preserve">(~6×10⁻⁴</w:t>
      </w:r>
      <w:r>
        <w:t xml:space="preserve"> </w:t>
      </w:r>
      <w:r>
        <w:t xml:space="preserve">for</w:t>
      </w:r>
      <w:r>
        <w:t xml:space="preserve"> </w:t>
      </w:r>
      <w:r>
        <w:t xml:space="preserve">an</w:t>
      </w:r>
      <w:r>
        <w:t xml:space="preserve"> </w:t>
      </w:r>
      <w:r>
        <w:t xml:space="preserve">idealised</w:t>
      </w:r>
      <w:r>
        <w:t xml:space="preserve"> </w:t>
      </w:r>
      <w:r>
        <w:t xml:space="preserve">pure-deuterium</w:t>
      </w:r>
      <w:r>
        <w:t xml:space="preserve"> </w:t>
      </w:r>
      <w:r>
        <w:t xml:space="preserve">target),</w:t>
      </w:r>
      <w:r>
        <w:t xml:space="preserve"> </w:t>
      </w:r>
      <w:r>
        <w:t xml:space="preserve">3–4.5</w:t>
      </w:r>
      <w:r>
        <w:t xml:space="preserve"> </w:t>
      </w:r>
      <w:r>
        <w:t xml:space="preserve">orders</w:t>
      </w:r>
      <w:r>
        <w:t xml:space="preserve"> </w:t>
      </w:r>
      <w:r>
        <w:t xml:space="preserve">below</w:t>
      </w:r>
      <w:r>
        <w:t xml:space="preserve"> </w:t>
      </w:r>
      <w:r>
        <w:t xml:space="preserve">breakeven.</w:t>
      </w:r>
      <w:r>
        <w:t xml:space="preserve"> </w:t>
      </w:r>
      <w:r>
        <w:t xml:space="preserve">Screening</w:t>
      </w:r>
      <w:r>
        <w:t xml:space="preserve"> </w:t>
      </w:r>
      <w:r>
        <w:t xml:space="preserve">of</w:t>
      </w:r>
      <w:r>
        <w:t xml:space="preserve"> </w:t>
      </w:r>
      <w:r>
        <w:t xml:space="preserve">up</w:t>
      </w:r>
      <w:r>
        <w:t xml:space="preserve"> </w:t>
      </w:r>
      <w:r>
        <w:t xml:space="preserve">to</w:t>
      </w:r>
      <w:r>
        <w:t xml:space="preserve"> </w:t>
      </w:r>
      <w:r>
        <w:t xml:space="preserve">1.7</w:t>
      </w:r>
      <w:r>
        <w:t xml:space="preserve"> </w:t>
      </w:r>
      <w:r>
        <w:t xml:space="preserve">keV</w:t>
      </w:r>
      <w:r>
        <w:t xml:space="preserve"> </w:t>
      </w:r>
      <w:r>
        <w:t xml:space="preserve">does</w:t>
      </w:r>
      <w:r>
        <w:t xml:space="preserve"> </w:t>
      </w:r>
      <w:r>
        <w:t xml:space="preserve">not</w:t>
      </w:r>
      <w:r>
        <w:t xml:space="preserve"> </w:t>
      </w:r>
      <w:r>
        <w:t xml:space="preserve">change</w:t>
      </w:r>
      <w:r>
        <w:t xml:space="preserve"> </w:t>
      </w:r>
      <w:r>
        <w:t xml:space="preserve">the</w:t>
      </w:r>
      <w:r>
        <w:t xml:space="preserve"> </w:t>
      </w:r>
      <w:r>
        <w:t xml:space="preserve">best</w:t>
      </w:r>
      <w:r>
        <w:t xml:space="preserve"> </w:t>
      </w:r>
      <w:r>
        <w:t xml:space="preserve">case,</w:t>
      </w:r>
      <w:r>
        <w:t xml:space="preserve"> </w:t>
      </w:r>
      <w:r>
        <w:t xml:space="preserve">because</w:t>
      </w:r>
      <w:r>
        <w:t xml:space="preserve"> </w:t>
      </w:r>
      <w:r>
        <w:t xml:space="preserve">electronic</w:t>
      </w:r>
      <w:r>
        <w:t xml:space="preserve"> </w:t>
      </w:r>
      <w:r>
        <w:t xml:space="preserve">stopping,</w:t>
      </w:r>
      <w:r>
        <w:t xml:space="preserve"> </w:t>
      </w:r>
      <w:r>
        <w:t xml:space="preserve">not</w:t>
      </w:r>
      <w:r>
        <w:t xml:space="preserve"> </w:t>
      </w:r>
      <w:r>
        <w:t xml:space="preserve">the</w:t>
      </w:r>
      <w:r>
        <w:t xml:space="preserve"> </w:t>
      </w:r>
      <w:r>
        <w:t xml:space="preserve">Coulomb</w:t>
      </w:r>
      <w:r>
        <w:t xml:space="preserve"> </w:t>
      </w:r>
      <w:r>
        <w:t xml:space="preserve">barrier,</w:t>
      </w:r>
      <w:r>
        <w:t xml:space="preserve"> </w:t>
      </w:r>
      <w:r>
        <w:t xml:space="preserve">dominates.</w:t>
      </w:r>
      <w:r>
        <w:t xml:space="preserve"> </w:t>
      </w:r>
      <w:r>
        <w:t xml:space="preserve">(2)</w:t>
      </w:r>
      <w:r>
        <w:t xml:space="preserve"> </w:t>
      </w:r>
      <w:r>
        <w:rPr>
          <w:bCs/>
          <w:b/>
        </w:rPr>
        <w:t xml:space="preserve">Catalysis:</w:t>
      </w:r>
      <w:r>
        <w:t xml:space="preserve"> </w:t>
      </w:r>
      <w:r>
        <w:t xml:space="preserve">muons</w:t>
      </w:r>
      <w:r>
        <w:t xml:space="preserve"> </w:t>
      </w:r>
      <w:r>
        <w:t xml:space="preserve">remain</w:t>
      </w:r>
      <w:r>
        <w:t xml:space="preserve"> </w:t>
      </w:r>
      <w:r>
        <w:t xml:space="preserve">the</w:t>
      </w:r>
      <w:r>
        <w:t xml:space="preserve"> </w:t>
      </w:r>
      <w:r>
        <w:t xml:space="preserve">only</w:t>
      </w:r>
      <w:r>
        <w:t xml:space="preserve"> </w:t>
      </w:r>
      <w:r>
        <w:t xml:space="preserve">physical</w:t>
      </w:r>
      <w:r>
        <w:t xml:space="preserve"> </w:t>
      </w:r>
      <w:r>
        <w:t xml:space="preserve">catalyst,</w:t>
      </w:r>
      <w:r>
        <w:t xml:space="preserve"> </w:t>
      </w:r>
      <w:r>
        <w:t xml:space="preserve">~9×</w:t>
      </w:r>
      <w:r>
        <w:t xml:space="preserve"> </w:t>
      </w:r>
      <w:r>
        <w:t xml:space="preserve">from</w:t>
      </w:r>
      <w:r>
        <w:t xml:space="preserve"> </w:t>
      </w:r>
      <w:r>
        <w:t xml:space="preserve">net</w:t>
      </w:r>
      <w:r>
        <w:t xml:space="preserve"> </w:t>
      </w:r>
      <w:r>
        <w:t xml:space="preserve">electricity.</w:t>
      </w:r>
      <w:r>
        <w:t xml:space="preserve"> </w:t>
      </w:r>
      <w:r>
        <w:t xml:space="preserve">(3)</w:t>
      </w:r>
      <w:r>
        <w:t xml:space="preserve"> </w:t>
      </w:r>
      <w:r>
        <w:rPr>
          <w:bCs/>
          <w:b/>
        </w:rPr>
        <w:t xml:space="preserve">Hot</w:t>
      </w:r>
      <w:r>
        <w:rPr>
          <w:bCs/>
          <w:b/>
        </w:rPr>
        <w:t xml:space="preserve"> </w:t>
      </w:r>
      <w:r>
        <w:rPr>
          <w:bCs/>
          <w:b/>
        </w:rPr>
        <w:t xml:space="preserve">fusion:</w:t>
      </w:r>
      <w:r>
        <w:t xml:space="preserve"> </w:t>
      </w:r>
      <w:r>
        <w:t xml:space="preserve">laser</w:t>
      </w:r>
      <w:r>
        <w:t xml:space="preserve"> </w:t>
      </w:r>
      <w:r>
        <w:t xml:space="preserve">ignition</w:t>
      </w:r>
      <w:r>
        <w:t xml:space="preserve"> </w:t>
      </w:r>
      <w:r>
        <w:t xml:space="preserve">is</w:t>
      </w:r>
      <w:r>
        <w:t xml:space="preserve"> </w:t>
      </w:r>
      <w:r>
        <w:t xml:space="preserve">established</w:t>
      </w:r>
      <w:r>
        <w:t xml:space="preserve"> </w:t>
      </w:r>
      <w:r>
        <w:t xml:space="preserve">(target</w:t>
      </w:r>
      <w:r>
        <w:t xml:space="preserve"> </w:t>
      </w:r>
      <w:r>
        <w:t xml:space="preserve">gain</w:t>
      </w:r>
      <w:r>
        <w:t xml:space="preserve"> </w:t>
      </w:r>
      <w:r>
        <w:t xml:space="preserve">≈</w:t>
      </w:r>
      <w:r>
        <w:t xml:space="preserve"> </w:t>
      </w:r>
      <w:r>
        <w:t xml:space="preserve">4.1</w:t>
      </w:r>
      <w:r>
        <w:t xml:space="preserve"> </w:t>
      </w:r>
      <w:r>
        <w:t xml:space="preserve">in</w:t>
      </w:r>
      <w:r>
        <w:t xml:space="preserve"> </w:t>
      </w:r>
      <w:r>
        <w:t xml:space="preserve">2025),</w:t>
      </w:r>
      <w:r>
        <w:t xml:space="preserve"> </w:t>
      </w:r>
      <w:r>
        <w:t xml:space="preserve">and</w:t>
      </w:r>
      <w:r>
        <w:t xml:space="preserve"> </w:t>
      </w:r>
      <w:r>
        <w:t xml:space="preserve">the</w:t>
      </w:r>
      <w:r>
        <w:t xml:space="preserve"> </w:t>
      </w:r>
      <w:r>
        <w:t xml:space="preserve">remaining</w:t>
      </w:r>
      <w:r>
        <w:t xml:space="preserve"> </w:t>
      </w:r>
      <w:r>
        <w:t xml:space="preserve">gap</w:t>
      </w:r>
      <w:r>
        <w:t xml:space="preserve"> </w:t>
      </w:r>
      <w:r>
        <w:t xml:space="preserve">to</w:t>
      </w:r>
      <w:r>
        <w:t xml:space="preserve"> </w:t>
      </w:r>
      <w:r>
        <w:t xml:space="preserve">a</w:t>
      </w:r>
      <w:r>
        <w:t xml:space="preserve"> </w:t>
      </w:r>
      <w:r>
        <w:t xml:space="preserve">power</w:t>
      </w:r>
      <w:r>
        <w:t xml:space="preserve"> </w:t>
      </w:r>
      <w:r>
        <w:t xml:space="preserve">plant</w:t>
      </w:r>
      <w:r>
        <w:t xml:space="preserve"> </w:t>
      </w:r>
      <w:r>
        <w:t xml:space="preserve">is</w:t>
      </w:r>
      <w:r>
        <w:t xml:space="preserve"> </w:t>
      </w:r>
      <w:r>
        <w:t xml:space="preserve">under</w:t>
      </w:r>
      <w:r>
        <w:t xml:space="preserve"> </w:t>
      </w:r>
      <w:r>
        <w:t xml:space="preserve">one</w:t>
      </w:r>
      <w:r>
        <w:t xml:space="preserve"> </w:t>
      </w:r>
      <w:r>
        <w:t xml:space="preserve">order</w:t>
      </w:r>
      <w:r>
        <w:t xml:space="preserve"> </w:t>
      </w:r>
      <w:r>
        <w:t xml:space="preserve">of</w:t>
      </w:r>
      <w:r>
        <w:t xml:space="preserve"> </w:t>
      </w:r>
      <w:r>
        <w:t xml:space="preserve">magnitude</w:t>
      </w:r>
      <w:r>
        <w:t xml:space="preserve"> </w:t>
      </w:r>
      <w:r>
        <w:t xml:space="preserve">in</w:t>
      </w:r>
      <w:r>
        <w:t xml:space="preserve"> </w:t>
      </w:r>
      <w:r>
        <w:t xml:space="preserve">target</w:t>
      </w:r>
      <w:r>
        <w:t xml:space="preserve"> </w:t>
      </w:r>
      <w:r>
        <w:t xml:space="preserve">gain,</w:t>
      </w:r>
      <w:r>
        <w:t xml:space="preserve"> </w:t>
      </w:r>
      <w:r>
        <w:t xml:space="preserve">plus</w:t>
      </w:r>
      <w:r>
        <w:t xml:space="preserve"> </w:t>
      </w:r>
      <w:r>
        <w:t xml:space="preserve">driver</w:t>
      </w:r>
      <w:r>
        <w:t xml:space="preserve"> </w:t>
      </w:r>
      <w:r>
        <w:t xml:space="preserve">efficiency.</w:t>
      </w:r>
      <w:r>
        <w:t xml:space="preserve"> </w:t>
      </w:r>
      <w:r>
        <w:t xml:space="preserve">(4)</w:t>
      </w:r>
      <w:r>
        <w:t xml:space="preserve"> </w:t>
      </w:r>
      <w:r>
        <w:rPr>
          <w:bCs/>
          <w:b/>
        </w:rPr>
        <w:t xml:space="preserve">Waste:</w:t>
      </w:r>
      <w:r>
        <w:t xml:space="preserve"> </w:t>
      </w:r>
      <w:r>
        <w:t xml:space="preserve">fission</w:t>
      </w:r>
      <w:r>
        <w:t xml:space="preserve"> </w:t>
      </w:r>
      <w:r>
        <w:t xml:space="preserve">always</w:t>
      </w:r>
      <w:r>
        <w:t xml:space="preserve"> </w:t>
      </w:r>
      <w:r>
        <w:t xml:space="preserve">produces</w:t>
      </w:r>
      <w:r>
        <w:t xml:space="preserve"> </w:t>
      </w:r>
      <w:r>
        <w:t xml:space="preserve">fission</w:t>
      </w:r>
      <w:r>
        <w:t xml:space="preserve"> </w:t>
      </w:r>
      <w:r>
        <w:t xml:space="preserve">products.</w:t>
      </w:r>
      <w:r>
        <w:t xml:space="preserve"> </w:t>
      </w:r>
      <w:r>
        <w:t xml:space="preserve">Partitioning</w:t>
      </w:r>
      <w:r>
        <w:t xml:space="preserve"> </w:t>
      </w:r>
      <w:r>
        <w:t xml:space="preserve">and</w:t>
      </w:r>
      <w:r>
        <w:t xml:space="preserve"> </w:t>
      </w:r>
      <w:r>
        <w:t xml:space="preserve">transmutation</w:t>
      </w:r>
      <w:r>
        <w:t xml:space="preserve"> </w:t>
      </w:r>
      <w:r>
        <w:t xml:space="preserve">can</w:t>
      </w:r>
      <w:r>
        <w:t xml:space="preserve"> </w:t>
      </w:r>
      <w:r>
        <w:t xml:space="preserve">shorten</w:t>
      </w:r>
      <w:r>
        <w:t xml:space="preserve"> </w:t>
      </w:r>
      <w:r>
        <w:t xml:space="preserve">the</w:t>
      </w:r>
      <w:r>
        <w:t xml:space="preserve"> </w:t>
      </w:r>
      <w:r>
        <w:t xml:space="preserve">hazard</w:t>
      </w:r>
      <w:r>
        <w:t xml:space="preserve"> </w:t>
      </w:r>
      <w:r>
        <w:t xml:space="preserve">from</w:t>
      </w:r>
      <w:r>
        <w:t xml:space="preserve"> </w:t>
      </w:r>
      <w:r>
        <w:t xml:space="preserve">~300,000</w:t>
      </w:r>
      <w:r>
        <w:t xml:space="preserve"> </w:t>
      </w:r>
      <w:r>
        <w:t xml:space="preserve">to</w:t>
      </w:r>
      <w:r>
        <w:t xml:space="preserve"> </w:t>
      </w:r>
      <w:r>
        <w:t xml:space="preserve">~300</w:t>
      </w:r>
      <w:r>
        <w:t xml:space="preserve"> </w:t>
      </w:r>
      <w:r>
        <w:t xml:space="preserve">years.</w:t>
      </w:r>
      <w:r>
        <w:t xml:space="preserve"> </w:t>
      </w:r>
      <w:r>
        <w:t xml:space="preserve">d–t</w:t>
      </w:r>
      <w:r>
        <w:t xml:space="preserve"> </w:t>
      </w:r>
      <w:r>
        <w:t xml:space="preserve">fusion</w:t>
      </w:r>
      <w:r>
        <w:t xml:space="preserve"> </w:t>
      </w:r>
      <w:r>
        <w:t xml:space="preserve">leaves</w:t>
      </w:r>
      <w:r>
        <w:t xml:space="preserve"> </w:t>
      </w:r>
      <w:r>
        <w:t xml:space="preserve">activated</w:t>
      </w:r>
      <w:r>
        <w:t xml:space="preserve"> </w:t>
      </w:r>
      <w:r>
        <w:t xml:space="preserve">structure</w:t>
      </w:r>
      <w:r>
        <w:t xml:space="preserve"> </w:t>
      </w:r>
      <w:r>
        <w:t xml:space="preserve">(limited</w:t>
      </w:r>
      <w:r>
        <w:t xml:space="preserve"> </w:t>
      </w:r>
      <w:r>
        <w:t xml:space="preserve">by</w:t>
      </w:r>
      <w:r>
        <w:t xml:space="preserve"> </w:t>
      </w:r>
      <w:r>
        <w:t xml:space="preserve">carbon-14</w:t>
      </w:r>
      <w:r>
        <w:t xml:space="preserve"> </w:t>
      </w:r>
      <w:r>
        <w:t xml:space="preserve">in</w:t>
      </w:r>
      <w:r>
        <w:t xml:space="preserve"> </w:t>
      </w:r>
      <w:r>
        <w:t xml:space="preserve">steels),</w:t>
      </w:r>
      <w:r>
        <w:t xml:space="preserve"> </w:t>
      </w:r>
      <w:r>
        <w:t xml:space="preserve">and</w:t>
      </w:r>
      <w:r>
        <w:t xml:space="preserve"> </w:t>
      </w:r>
      <w:r>
        <w:t xml:space="preserve">only</w:t>
      </w:r>
      <w:r>
        <w:t xml:space="preserve"> </w:t>
      </w:r>
      <w:r>
        <w:t xml:space="preserve">aneutronic</w:t>
      </w:r>
      <w:r>
        <w:t xml:space="preserve"> </w:t>
      </w:r>
      <w:r>
        <w:t xml:space="preserve">p–¹¹B</w:t>
      </w:r>
      <w:r>
        <w:t xml:space="preserve"> </w:t>
      </w:r>
      <w:r>
        <w:t xml:space="preserve">would</w:t>
      </w:r>
      <w:r>
        <w:t xml:space="preserve"> </w:t>
      </w:r>
      <w:r>
        <w:t xml:space="preserve">come</w:t>
      </w:r>
      <w:r>
        <w:t xml:space="preserve"> </w:t>
      </w:r>
      <w:r>
        <w:t xml:space="preserve">close</w:t>
      </w:r>
      <w:r>
        <w:t xml:space="preserve"> </w:t>
      </w:r>
      <w:r>
        <w:t xml:space="preserve">to</w:t>
      </w:r>
      <w:r>
        <w:t xml:space="preserve"> </w:t>
      </w:r>
      <w:r>
        <w:t xml:space="preserve">“</w:t>
      </w:r>
      <w:r>
        <w:t xml:space="preserve">deposit-free</w:t>
      </w:r>
      <w:r>
        <w:t xml:space="preserve">”</w:t>
      </w:r>
      <w:r>
        <w:t xml:space="preserve">,</w:t>
      </w:r>
      <w:r>
        <w:t xml:space="preserve"> </w:t>
      </w:r>
      <w:r>
        <w:t xml:space="preserve">but</w:t>
      </w:r>
      <w:r>
        <w:t xml:space="preserve"> </w:t>
      </w:r>
      <w:r>
        <w:t xml:space="preserve">its</w:t>
      </w:r>
      <w:r>
        <w:t xml:space="preserve"> </w:t>
      </w:r>
      <w:r>
        <w:t xml:space="preserve">power</w:t>
      </w:r>
      <w:r>
        <w:t xml:space="preserve"> </w:t>
      </w:r>
      <w:r>
        <w:t xml:space="preserve">balance</w:t>
      </w:r>
      <w:r>
        <w:t xml:space="preserve"> </w:t>
      </w:r>
      <w:r>
        <w:t xml:space="preserve">against</w:t>
      </w:r>
      <w:r>
        <w:t xml:space="preserve"> </w:t>
      </w:r>
      <w:r>
        <w:t xml:space="preserve">bremsstrahlung</w:t>
      </w:r>
      <w:r>
        <w:t xml:space="preserve"> </w:t>
      </w:r>
      <w:r>
        <w:t xml:space="preserve">is</w:t>
      </w:r>
      <w:r>
        <w:t xml:space="preserve"> </w:t>
      </w:r>
      <w:r>
        <w:t xml:space="preserve">marginal.</w:t>
      </w:r>
    </w:p>
    <w:bookmarkStart w:id="23" w:name="energetic-deuterons-in-deuterated-metals"/>
    <w:p>
      <w:pPr>
        <w:pStyle w:val="Heading1"/>
      </w:pPr>
      <w:r>
        <w:t xml:space="preserve">1. Energetic deuterons in deuterated metals</w:t>
      </w:r>
    </w:p>
    <w:p>
      <w:pPr>
        <w:pStyle w:val="FirstParagraph"/>
      </w:pPr>
      <w:r>
        <w:t xml:space="preserve">A deuteron of energy E₀ entering deuterated metal fuses with probability P(E₀)=∫₀</w:t>
      </w:r>
      <w:r>
        <w:rPr>
          <w:vertAlign w:val="superscript"/>
        </w:rPr>
        <w:t xml:space="preserve">E₀</w:t>
      </w:r>
      <w:r>
        <w:t xml:space="preserve"> </w:t>
      </w:r>
      <w:r>
        <w:t xml:space="preserve">n</w:t>
      </w:r>
      <w:r>
        <w:rPr>
          <w:vertAlign w:val="subscript"/>
        </w:rPr>
        <w:t xml:space="preserve">D</w:t>
      </w:r>
      <w:r>
        <w:t xml:space="preserve">σ(E)/|dE/dx| dE before stopping, and returns G = P⟨ Q⟩/E₀ of its energy (⟨ Q⟩ = 3.65 MeV). With Bosch–Hale cross-sections, a screening shift of up to 1.7 keV, and a Bethe-plus-low-energy stopping model for Pd (uncertain to ~2×):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Best energy return G</w:t>
            </w:r>
          </w:p>
        </w:tc>
        <w:tc>
          <w:tcPr/>
          <w:p>
            <w:pPr>
              <w:pStyle w:val="Compact"/>
              <w:jc w:val="left"/>
            </w:pPr>
            <w:r>
              <w:t xml:space="preserve">Orders below breakeven</w:t>
            </w:r>
          </w:p>
        </w:tc>
      </w:tr>
      <w:tr>
        <w:tc>
          <w:tcPr/>
          <w:p>
            <w:pPr>
              <w:pStyle w:val="Compact"/>
              <w:jc w:val="left"/>
            </w:pPr>
            <w:r>
              <w:t xml:space="preserve">PdD, no screening</w:t>
            </w:r>
          </w:p>
        </w:tc>
        <w:tc>
          <w:tcPr/>
          <w:p>
            <w:pPr>
              <w:pStyle w:val="Compact"/>
              <w:jc w:val="left"/>
            </w:pPr>
            <w:r>
              <w:t xml:space="preserve">2.9×10⁻⁵ (at 3 MeV)</w:t>
            </w:r>
          </w:p>
        </w:tc>
        <w:tc>
          <w:tcPr/>
          <w:p>
            <w:pPr>
              <w:pStyle w:val="Compact"/>
              <w:jc w:val="left"/>
            </w:pPr>
            <w:r>
              <w:t xml:space="preserve">4.5</w:t>
            </w:r>
          </w:p>
        </w:tc>
      </w:tr>
      <w:tr>
        <w:tc>
          <w:tcPr/>
          <w:p>
            <w:pPr>
              <w:pStyle w:val="Compact"/>
              <w:jc w:val="left"/>
            </w:pPr>
            <w:r>
              <w:t xml:space="preserve">PdD, U_e = 1.7 keV (Karahadian et al. 2026)</w:t>
            </w:r>
          </w:p>
        </w:tc>
        <w:tc>
          <w:tcPr/>
          <w:p>
            <w:pPr>
              <w:pStyle w:val="Compact"/>
              <w:jc w:val="left"/>
            </w:pPr>
            <w:r>
              <w:t xml:space="preserve">2.9×10⁻⁵</w:t>
            </w:r>
          </w:p>
        </w:tc>
        <w:tc>
          <w:tcPr/>
          <w:p>
            <w:pPr>
              <w:pStyle w:val="Compact"/>
              <w:jc w:val="left"/>
            </w:pPr>
            <w:r>
              <w:t xml:space="preserve">4.5</w:t>
            </w:r>
          </w:p>
        </w:tc>
      </w:tr>
      <w:tr>
        <w:tc>
          <w:tcPr/>
          <w:p>
            <w:pPr>
              <w:pStyle w:val="Compact"/>
              <w:jc w:val="left"/>
            </w:pPr>
            <w:r>
              <w:t xml:space="preserve">PdD, 1.7 keV, stopping ×0.5</w:t>
            </w:r>
          </w:p>
        </w:tc>
        <w:tc>
          <w:tcPr/>
          <w:p>
            <w:pPr>
              <w:pStyle w:val="Compact"/>
              <w:jc w:val="left"/>
            </w:pPr>
            <w:r>
              <w:t xml:space="preserve">5.9×10⁻⁵</w:t>
            </w:r>
          </w:p>
        </w:tc>
        <w:tc>
          <w:tcPr/>
          <w:p>
            <w:pPr>
              <w:pStyle w:val="Compact"/>
              <w:jc w:val="left"/>
            </w:pPr>
            <w:r>
              <w:t xml:space="preserve">4.2</w:t>
            </w:r>
          </w:p>
        </w:tc>
      </w:tr>
      <w:tr>
        <w:tc>
          <w:tcPr/>
          <w:p>
            <w:pPr>
              <w:pStyle w:val="Compact"/>
              <w:jc w:val="left"/>
            </w:pPr>
            <w:r>
              <w:t xml:space="preserve">Pure deuterium target (optimistic)</w:t>
            </w:r>
          </w:p>
        </w:tc>
        <w:tc>
          <w:tcPr/>
          <w:p>
            <w:pPr>
              <w:pStyle w:val="Compact"/>
              <w:jc w:val="left"/>
            </w:pPr>
            <w:r>
              <w:t xml:space="preserve">5.7×10⁻⁴</w:t>
            </w:r>
          </w:p>
        </w:tc>
        <w:tc>
          <w:tcPr/>
          <w:p>
            <w:pPr>
              <w:pStyle w:val="Compact"/>
              <w:jc w:val="left"/>
            </w:pPr>
            <w:r>
              <w:t xml:space="preserve">3.2</w:t>
            </w:r>
          </w:p>
        </w:tc>
      </w:tr>
    </w:tbl>
    <w:p>
      <w:pPr>
        <w:pStyle w:val="CaptionedFigure"/>
      </w:pPr>
      <w:r>
        <w:drawing>
          <wp:inline>
            <wp:extent cx="5334000" cy="3048000"/>
            <wp:effectExtent b="0" l="0" r="0" t="0"/>
            <wp:docPr descr="Energy return of an energetic deuteron slowing in a deuterated metal." title="" id="21" name="Picture"/>
            <a:graphic>
              <a:graphicData uri="http://schemas.openxmlformats.org/drawingml/2006/picture">
                <pic:pic>
                  <pic:nvPicPr>
                    <pic:cNvPr descr="../../figures/11_beam_in_metal.png" id="22" name="Picture"/>
                    <pic:cNvPicPr>
                      <a:picLocks noChangeArrowheads="1" noChangeAspect="1"/>
                    </pic:cNvPicPr>
                  </pic:nvPicPr>
                  <pic:blipFill>
                    <a:blip r:embed="rId20"/>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Energy return of an energetic deuteron slowing in a deuterated metal.</w:t>
      </w:r>
    </w:p>
    <w:p>
      <w:pPr>
        <w:pStyle w:val="BodyText"/>
      </w:pPr>
      <w:r>
        <w:t xml:space="preserve">Screening multiplies the yield ×240 at 5 keV, but there G ~ 10⁻⁹. A deuteron loses its energy to electrons long before it is likely to fuse.</w:t>
      </w:r>
      <w:r>
        <w:t xml:space="preserve"> </w:t>
      </w:r>
      <w:r>
        <w:rPr>
          <w:bCs/>
          <w:b/>
        </w:rPr>
        <w:t xml:space="preserve">NASA’s lattice confinement fusion (2020) and beam-loaded metals are therefore neutron sources and screening laboratories, not energy sources.</w:t>
      </w:r>
      <w:r>
        <w:t xml:space="preserve"> </w:t>
      </w:r>
      <w:r>
        <w:t xml:space="preserve">Avoiding electronic stopping requires recycling the energy in a hot plasma, which is thermonuclear fusion.</w:t>
      </w:r>
    </w:p>
    <w:bookmarkEnd w:id="23"/>
    <w:bookmarkStart w:id="24" w:name="catalysis"/>
    <w:p>
      <w:pPr>
        <w:pStyle w:val="Heading1"/>
      </w:pPr>
      <w:r>
        <w:t xml:space="preserve">2. Catalysis</w:t>
      </w:r>
    </w:p>
    <w:p>
      <w:pPr>
        <w:pStyle w:val="FirstParagraph"/>
      </w:pPr>
      <w:r>
        <w:t xml:space="preserve">Muons work (~150 fusions per muon) but are ~9× from net electricity; the route to closing that gap is in the companion muon note. Pions and kaons decay too fast. A hypothetical long-lived heavy negative particle would catalyse fusion without decay losses, but none has been found.</w:t>
      </w:r>
    </w:p>
    <w:bookmarkEnd w:id="24"/>
    <w:bookmarkStart w:id="25" w:name="hot-fusion-and-ignition"/>
    <w:p>
      <w:pPr>
        <w:pStyle w:val="Heading1"/>
      </w:pPr>
      <w:r>
        <w:t xml:space="preserve">3. Hot fusion and ignition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Path</w:t>
            </w:r>
          </w:p>
        </w:tc>
        <w:tc>
          <w:tcPr/>
          <w:p>
            <w:pPr>
              <w:pStyle w:val="Compact"/>
              <w:jc w:val="left"/>
            </w:pPr>
            <w:r>
              <w:t xml:space="preserve">Status</w:t>
            </w:r>
          </w:p>
        </w:tc>
        <w:tc>
          <w:tcPr/>
          <w:p>
            <w:pPr>
              <w:pStyle w:val="Compact"/>
              <w:jc w:val="left"/>
            </w:pPr>
            <w:r>
              <w:t xml:space="preserve">Remaining gap</w:t>
            </w:r>
          </w:p>
        </w:tc>
      </w:tr>
      <w:tr>
        <w:tc>
          <w:tcPr/>
          <w:p>
            <w:pPr>
              <w:pStyle w:val="Compact"/>
              <w:jc w:val="left"/>
            </w:pPr>
            <w:r>
              <w:t xml:space="preserve">Laser ICF, d–t (NIF)</w:t>
            </w:r>
          </w:p>
        </w:tc>
        <w:tc>
          <w:tcPr/>
          <w:p>
            <w:pPr>
              <w:pStyle w:val="Compact"/>
              <w:jc w:val="left"/>
            </w:pPr>
            <w:r>
              <w:t xml:space="preserve">8.6 MJ from 2.08 MJ laser, target gain 4.13 (2025)</w:t>
            </w:r>
          </w:p>
        </w:tc>
        <w:tc>
          <w:tcPr/>
          <w:p>
            <w:pPr>
              <w:pStyle w:val="Compact"/>
              <w:jc w:val="left"/>
            </w:pPr>
            <w:r>
              <w:t xml:space="preserve">~3.6× in target gain to a facility with zero net demand (LLNL estimate ~15), plus laser efficiency and repetition rate</w:t>
            </w:r>
          </w:p>
        </w:tc>
      </w:tr>
      <w:tr>
        <w:tc>
          <w:tcPr/>
          <w:p>
            <w:pPr>
              <w:pStyle w:val="Compact"/>
              <w:jc w:val="left"/>
            </w:pPr>
            <w:r>
              <w:t xml:space="preserve">D–³He (Helion)</w:t>
            </w:r>
          </w:p>
        </w:tc>
        <w:tc>
          <w:tcPr/>
          <w:p>
            <w:pPr>
              <w:pStyle w:val="Compact"/>
              <w:jc w:val="left"/>
            </w:pPr>
            <w:r>
              <w:t xml:space="preserve">Polaris reported d–t fusion at 150 million °C (Feb 2026); D–³He needs ~200 million °C; ³He to be bred from d–d</w:t>
            </w:r>
          </w:p>
        </w:tc>
        <w:tc>
          <w:tcPr/>
          <w:p>
            <w:pPr>
              <w:pStyle w:val="Compact"/>
              <w:jc w:val="left"/>
            </w:pPr>
            <w:r>
              <w:t xml:space="preserve">D–³He plasma not yet reported</w:t>
            </w:r>
          </w:p>
        </w:tc>
      </w:tr>
      <w:tr>
        <w:tc>
          <w:tcPr/>
          <w:p>
            <w:pPr>
              <w:pStyle w:val="Compact"/>
              <w:jc w:val="left"/>
            </w:pPr>
            <w:r>
              <w:t xml:space="preserve">p–¹¹B, thermal</w:t>
            </w:r>
          </w:p>
        </w:tc>
        <w:tc>
          <w:tcPr/>
          <w:p>
            <w:pPr>
              <w:pStyle w:val="Compact"/>
              <w:jc w:val="left"/>
            </w:pPr>
            <w:r>
              <w:t xml:space="preserve">Fusion power exceeds bremsstrahlung by only a few % at best; alpha channeling could reduce the required confinement 2.6–6.9×; &lt;2% ash prevents ignition</w:t>
            </w:r>
          </w:p>
        </w:tc>
        <w:tc>
          <w:tcPr/>
          <w:p>
            <w:pPr>
              <w:pStyle w:val="Compact"/>
              <w:jc w:val="left"/>
            </w:pPr>
            <w:r>
              <w:t xml:space="preserve">Marginal power balance</w:t>
            </w:r>
          </w:p>
        </w:tc>
      </w:tr>
      <w:tr>
        <w:tc>
          <w:tcPr/>
          <w:p>
            <w:pPr>
              <w:pStyle w:val="Compact"/>
              <w:jc w:val="left"/>
            </w:pPr>
            <w:r>
              <w:t xml:space="preserve">p–¹¹B, inertial</w:t>
            </w:r>
          </w:p>
        </w:tc>
        <w:tc>
          <w:tcPr/>
          <w:p>
            <w:pPr>
              <w:pStyle w:val="Compact"/>
              <w:jc w:val="left"/>
            </w:pPr>
            <w:r>
              <w:t xml:space="preserve">Breakeven needs ~100× current areal density at ~1000× pressure, with trapped bremsstrahlung</w:t>
            </w:r>
          </w:p>
        </w:tc>
        <w:tc>
          <w:tcPr/>
          <w:p>
            <w:pPr>
              <w:pStyle w:val="Compact"/>
              <w:jc w:val="left"/>
            </w:pPr>
            <w:r>
              <w:t xml:space="preserve">Far</w:t>
            </w:r>
          </w:p>
        </w:tc>
      </w:tr>
      <w:tr>
        <w:tc>
          <w:tcPr/>
          <w:p>
            <w:pPr>
              <w:pStyle w:val="Compact"/>
              <w:jc w:val="left"/>
            </w:pPr>
            <w:r>
              <w:t xml:space="preserve">p–¹¹B, laser-driven non-thermal</w:t>
            </w:r>
          </w:p>
        </w:tc>
        <w:tc>
          <w:tcPr/>
          <w:p>
            <w:pPr>
              <w:pStyle w:val="Compact"/>
              <w:jc w:val="left"/>
            </w:pPr>
            <w:r>
              <w:t xml:space="preserve">~10¹¹ alphas per 600 J pulse; fusion energy ≈ 8×10⁻⁵ of laser energy</w:t>
            </w:r>
          </w:p>
        </w:tc>
        <w:tc>
          <w:tcPr/>
          <w:p>
            <w:pPr>
              <w:pStyle w:val="Compact"/>
              <w:jc w:val="left"/>
            </w:pPr>
            <w:r>
              <w:t xml:space="preserve">~4 orders</w:t>
            </w:r>
          </w:p>
        </w:tc>
      </w:tr>
      <w:tr>
        <w:tc>
          <w:tcPr/>
          <w:p>
            <w:pPr>
              <w:pStyle w:val="Compact"/>
              <w:jc w:val="left"/>
            </w:pPr>
            <w:r>
              <w:t xml:space="preserve">p–¹¹B, dense plasma focus</w:t>
            </w:r>
          </w:p>
        </w:tc>
        <w:tc>
          <w:tcPr/>
          <w:p>
            <w:pPr>
              <w:pStyle w:val="Compact"/>
              <w:jc w:val="left"/>
            </w:pPr>
            <w:r>
              <w:t xml:space="preserve">&gt;200 keV ion energies (deuterium); decaborane runs began 2025</w:t>
            </w:r>
          </w:p>
        </w:tc>
        <w:tc>
          <w:tcPr/>
          <w:p>
            <w:pPr>
              <w:pStyle w:val="Compact"/>
              <w:jc w:val="left"/>
            </w:pPr>
            <w:r>
              <w:t xml:space="preserve">No p–¹¹B yield published</w:t>
            </w:r>
          </w:p>
        </w:tc>
      </w:tr>
    </w:tbl>
    <w:bookmarkEnd w:id="25"/>
    <w:bookmarkStart w:id="27" w:name="waste"/>
    <w:p>
      <w:pPr>
        <w:pStyle w:val="Heading1"/>
      </w:pPr>
      <w:r>
        <w:t xml:space="preserve">4. Waste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Long-term hazard</w:t>
            </w:r>
          </w:p>
        </w:tc>
        <w:tc>
          <w:tcPr/>
          <w:p>
            <w:pPr>
              <w:pStyle w:val="Compact"/>
              <w:jc w:val="left"/>
            </w:pPr>
            <w:r>
              <w:t xml:space="preserve">Status</w:t>
            </w:r>
          </w:p>
        </w:tc>
      </w:tr>
      <w:tr>
        <w:tc>
          <w:tcPr/>
          <w:p>
            <w:pPr>
              <w:pStyle w:val="Compact"/>
              <w:jc w:val="left"/>
            </w:pPr>
            <w:r>
              <w:t xml:space="preserve">Once-through fission</w:t>
            </w:r>
          </w:p>
        </w:tc>
        <w:tc>
          <w:tcPr/>
          <w:p>
            <w:pPr>
              <w:pStyle w:val="Compact"/>
              <w:jc w:val="left"/>
            </w:pPr>
            <w:r>
              <w:t xml:space="preserve">Above uranium-ore radiotoxicity for ~300,000 years</w:t>
            </w:r>
          </w:p>
        </w:tc>
        <w:tc>
          <w:tcPr/>
          <w:p>
            <w:pPr>
              <w:pStyle w:val="Compact"/>
              <w:jc w:val="left"/>
            </w:pPr>
            <w:r>
              <w:t xml:space="preserve">Operating</w:t>
            </w:r>
          </w:p>
        </w:tc>
      </w:tr>
      <w:tr>
        <w:tc>
          <w:tcPr/>
          <w:p>
            <w:pPr>
              <w:pStyle w:val="Compact"/>
              <w:jc w:val="left"/>
            </w:pPr>
            <w:r>
              <w:t xml:space="preserve">Plutonium recycling</w:t>
            </w:r>
          </w:p>
        </w:tc>
        <w:tc>
          <w:tcPr/>
          <w:p>
            <w:pPr>
              <w:pStyle w:val="Compact"/>
              <w:jc w:val="left"/>
            </w:pPr>
            <w:r>
              <w:t xml:space="preserve">~10,000 years</w:t>
            </w:r>
          </w:p>
        </w:tc>
        <w:tc>
          <w:tcPr/>
          <w:p>
            <w:pPr>
              <w:pStyle w:val="Compact"/>
              <w:jc w:val="left"/>
            </w:pPr>
            <w:r>
              <w:t xml:space="preserve">Operating</w:t>
            </w:r>
          </w:p>
        </w:tc>
      </w:tr>
      <w:tr>
        <w:tc>
          <w:tcPr/>
          <w:p>
            <w:pPr>
              <w:pStyle w:val="Compact"/>
              <w:jc w:val="left"/>
            </w:pPr>
            <w:r>
              <w:t xml:space="preserve">Partitioning and transmutation (fast reactors / ADS)</w:t>
            </w:r>
          </w:p>
        </w:tc>
        <w:tc>
          <w:tcPr/>
          <w:p>
            <w:pPr>
              <w:pStyle w:val="Compact"/>
              <w:jc w:val="left"/>
            </w:pPr>
            <w:r>
              <w:t xml:space="preserve">~300 years</w:t>
            </w:r>
          </w:p>
        </w:tc>
        <w:tc>
          <w:tcPr/>
          <w:p>
            <w:pPr>
              <w:pStyle w:val="Compact"/>
              <w:jc w:val="left"/>
            </w:pPr>
            <w:r>
              <w:t xml:space="preserve">MYRRHA first phase slipped to 2027–2038 (reports of a freeze unconfirmed)</w:t>
            </w:r>
          </w:p>
        </w:tc>
      </w:tr>
      <w:tr>
        <w:tc>
          <w:tcPr/>
          <w:p>
            <w:pPr>
              <w:pStyle w:val="Compact"/>
              <w:jc w:val="left"/>
            </w:pPr>
            <w:r>
              <w:t xml:space="preserve">Thorium molten salt</w:t>
            </w:r>
          </w:p>
        </w:tc>
        <w:tc>
          <w:tcPr/>
          <w:p>
            <w:pPr>
              <w:pStyle w:val="Compact"/>
              <w:jc w:val="left"/>
            </w:pPr>
            <w:r>
              <w:t xml:space="preserve">Far fewer transuranics; fission products remain</w:t>
            </w:r>
          </w:p>
        </w:tc>
        <w:tc>
          <w:tcPr/>
          <w:p>
            <w:pPr>
              <w:pStyle w:val="Compact"/>
              <w:jc w:val="left"/>
            </w:pPr>
            <w:r>
              <w:t xml:space="preserve">TMSR-LF1 critical 2023; thorium→uranium conversion 2025; larger units ~2030</w:t>
            </w:r>
          </w:p>
        </w:tc>
      </w:tr>
      <w:tr>
        <w:tc>
          <w:tcPr/>
          <w:p>
            <w:pPr>
              <w:pStyle w:val="Compact"/>
              <w:jc w:val="left"/>
            </w:pPr>
            <w:r>
              <w:t xml:space="preserve">d–t fusion</w:t>
            </w:r>
          </w:p>
        </w:tc>
        <w:tc>
          <w:tcPr/>
          <w:p>
            <w:pPr>
              <w:pStyle w:val="Compact"/>
              <w:jc w:val="left"/>
            </w:pPr>
            <w:r>
              <w:t xml:space="preserve">Activated structure; EU DEMO: ~10⁴ t intermediate-level waste 100 years after shutdown, mainly ¹⁴C</w:t>
            </w:r>
          </w:p>
        </w:tc>
        <w:tc>
          <w:tcPr/>
          <w:p>
            <w:pPr>
              <w:pStyle w:val="Compact"/>
              <w:jc w:val="left"/>
            </w:pPr>
            <w:r>
              <w:t xml:space="preserve">Design studies</w:t>
            </w:r>
          </w:p>
        </w:tc>
      </w:tr>
      <w:tr>
        <w:tc>
          <w:tcPr/>
          <w:p>
            <w:pPr>
              <w:pStyle w:val="Compact"/>
              <w:jc w:val="left"/>
            </w:pPr>
            <w:r>
              <w:t xml:space="preserve">D–³He / p–¹¹B fusion</w:t>
            </w:r>
          </w:p>
        </w:tc>
        <w:tc>
          <w:tcPr/>
          <w:p>
            <w:pPr>
              <w:pStyle w:val="Compact"/>
              <w:jc w:val="left"/>
            </w:pPr>
            <w:r>
              <w:t xml:space="preserve">Little / almost no activation</w:t>
            </w:r>
          </w:p>
        </w:tc>
        <w:tc>
          <w:tcPr/>
          <w:p>
            <w:pPr>
              <w:pStyle w:val="Compact"/>
              <w:jc w:val="left"/>
            </w:pPr>
            <w:r>
              <w:t xml:space="preserve">Not demonstrated</w:t>
            </w:r>
          </w:p>
        </w:tc>
      </w:tr>
    </w:tbl>
    <w:p>
      <w:pPr>
        <w:pStyle w:val="BodyText"/>
      </w:pPr>
      <w:r>
        <w:rPr>
          <w:bCs/>
          <w:b/>
        </w:rPr>
        <w:t xml:space="preserve">Fission cannot be made free of harmful products:</w:t>
      </w:r>
      <w:r>
        <w:t xml:space="preserve"> </w:t>
      </w:r>
      <w:r>
        <w:t xml:space="preserve">it always makes fission products. The best route shortens the hazard to centuries. Among nuclear options, only aneutronic fusion approaches</w:t>
      </w:r>
      <w:r>
        <w:t xml:space="preserve"> </w:t>
      </w:r>
      <w:r>
        <w:t xml:space="preserve">“</w:t>
      </w:r>
      <w:r>
        <w:t xml:space="preserve">no harmful deposits</w:t>
      </w:r>
      <w:r>
        <w:t xml:space="preserve">”</w:t>
      </w:r>
      <w:r>
        <w:t xml:space="preserve">, and it is the least developed.</w:t>
      </w:r>
    </w:p>
    <w:bookmarkStart w:id="26" w:name="waste-burning-budget-notebook-12"/>
    <w:p>
      <w:pPr>
        <w:pStyle w:val="Heading2"/>
      </w:pPr>
      <w:r>
        <w:t xml:space="preserve">4.1 Waste-burning budget (notebook 12)</w:t>
      </w:r>
    </w:p>
    <w:p>
      <w:pPr>
        <w:pStyle w:val="FirstParagraph"/>
      </w:pPr>
      <w:r>
        <w:t xml:space="preserve">Energy bookkeeping fixes the burn rate: fissioning</w:t>
      </w:r>
      <w:r>
        <w:t xml:space="preserve"> </w:t>
      </w:r>
      <w:r>
        <w:rPr>
          <w:bCs/>
          <w:b/>
        </w:rPr>
        <w:t xml:space="preserve">0.394 t of transuranics (TRU) releases 1 GWth-year</w:t>
      </w:r>
      <w:r>
        <w:t xml:space="preserve"> </w:t>
      </w:r>
      <w:r>
        <w:t xml:space="preserve">(200 MeV per fission). Inventory figures below are secondary and unverified.</w:t>
      </w:r>
    </w:p>
    <w:p>
      <w:pPr>
        <w:numPr>
          <w:ilvl w:val="0"/>
          <w:numId w:val="1001"/>
        </w:numPr>
        <w:pStyle w:val="Compact"/>
      </w:pPr>
      <w:r>
        <w:t xml:space="preserve">An assumed world stock of ~4,800 t TRU (~4×10⁵ t of spent fuel at ~1.2% TRU) is ~12,200 GWth-years of heat.</w:t>
      </w:r>
    </w:p>
    <w:p>
      <w:pPr>
        <w:numPr>
          <w:ilvl w:val="0"/>
          <w:numId w:val="1001"/>
        </w:numPr>
        <w:pStyle w:val="Compact"/>
      </w:pPr>
      <w:r>
        <w:t xml:space="preserve">~370 GWe of light-water reactors add ~92 t TRU per year. Holding the stock level takes ~235 GWth of burners; 300 GWth clears it in ~190 years and 1,000 GWth in ~16 years.</w:t>
      </w:r>
    </w:p>
    <w:p>
      <w:pPr>
        <w:numPr>
          <w:ilvl w:val="0"/>
          <w:numId w:val="1001"/>
        </w:numPr>
        <w:pStyle w:val="Compact"/>
      </w:pPr>
      <w:r>
        <w:t xml:space="preserve">In a subcritical (accelerator-driven) burner, the neutron driver takes</w:t>
      </w:r>
      <w:r>
        <w:t xml:space="preserve"> </w:t>
      </w:r>
      <w:r>
        <w:rPr>
          <w:bCs/>
          <w:b/>
        </w:rPr>
        <w:t xml:space="preserve">17% of the electrical output at k = 0.95 with spallation</w:t>
      </w:r>
      <w:r>
        <w:t xml:space="preserve">, falling to 7–10% at k = 0.97–0.98. Muon-catalysed fusion today (30 n/GeV) is no better (16%). With the muon-catalysis levers of the companion muon note, the share falls to 3–6%.</w:t>
      </w:r>
    </w:p>
    <w:p>
      <w:pPr>
        <w:numPr>
          <w:ilvl w:val="0"/>
          <w:numId w:val="1001"/>
        </w:numPr>
        <w:pStyle w:val="Compact"/>
      </w:pPr>
      <w:r>
        <w:t xml:space="preserve">Transmuting the ⁹⁹Tc and ¹²⁹I made per fission takes ~0.07 neutrons. A subcritical burner at k ≤ 0.97 supplies 1.3–4.7 times that as source neutrons (an upper bound, since not all reach targets); at k = 0.98 it does not.</w:t>
      </w:r>
    </w:p>
    <w:p>
      <w:pPr>
        <w:pStyle w:val="FirstParagraph"/>
      </w:pPr>
      <w:r>
        <w:t xml:space="preserve">Clearing the waste is limited by fleet size and neutrons, not by physics. A better neutron source cuts the driver penalty roughly six-fold but does not change the fleet size that energy bookkeeping sets.</w:t>
      </w:r>
    </w:p>
    <w:bookmarkEnd w:id="26"/>
    <w:bookmarkEnd w:id="27"/>
    <w:bookmarkStart w:id="28" w:name="conclusions"/>
    <w:p>
      <w:pPr>
        <w:pStyle w:val="Heading1"/>
      </w:pPr>
      <w:r>
        <w:t xml:space="preserve">5. Conclusions</w:t>
      </w:r>
    </w:p>
    <w:p>
      <w:pPr>
        <w:numPr>
          <w:ilvl w:val="0"/>
          <w:numId w:val="1002"/>
        </w:numPr>
        <w:pStyle w:val="Compact"/>
      </w:pPr>
      <w:r>
        <w:t xml:space="preserve">No room-temperature path closes the gap within known physics. Energetic deuterons in metals fall 3–4.5 orders short of breakeven, independent of screening.</w:t>
      </w:r>
    </w:p>
    <w:p>
      <w:pPr>
        <w:numPr>
          <w:ilvl w:val="0"/>
          <w:numId w:val="1002"/>
        </w:numPr>
        <w:pStyle w:val="Compact"/>
      </w:pPr>
      <w:r>
        <w:t xml:space="preserve">The paths with gaps of ~10× or less are</w:t>
      </w:r>
      <w:r>
        <w:t xml:space="preserve"> </w:t>
      </w:r>
      <w:r>
        <w:rPr>
          <w:bCs/>
          <w:b/>
        </w:rPr>
        <w:t xml:space="preserve">hot fusion</w:t>
      </w:r>
      <w:r>
        <w:t xml:space="preserve"> </w:t>
      </w:r>
      <w:r>
        <w:t xml:space="preserve">(laser and magnetic) and</w:t>
      </w:r>
      <w:r>
        <w:t xml:space="preserve"> </w:t>
      </w:r>
      <w:r>
        <w:rPr>
          <w:bCs/>
          <w:b/>
        </w:rPr>
        <w:t xml:space="preserve">muon catalysis</w:t>
      </w:r>
      <w:r>
        <w:t xml:space="preserve">.</w:t>
      </w:r>
    </w:p>
    <w:p>
      <w:pPr>
        <w:numPr>
          <w:ilvl w:val="0"/>
          <w:numId w:val="1002"/>
        </w:numPr>
        <w:pStyle w:val="Compact"/>
      </w:pPr>
      <w:r>
        <w:t xml:space="preserve">For low waste: partitioning and transmutation (fission, ~300-year hazard) is the nearest-term option; p–¹¹B is the cleanest but the furthest.</w:t>
      </w:r>
    </w:p>
    <w:p>
      <w:pPr>
        <w:pStyle w:val="FirstParagraph"/>
      </w:pPr>
      <w:r>
        <w:rPr>
          <w:bCs/>
          <w:b/>
        </w:rPr>
        <w:t xml:space="preserve">Reproducibility.</w:t>
      </w:r>
      <w:r>
        <w:t xml:space="preserve"> </w:t>
      </w:r>
      <w:r>
        <w:t xml:space="preserve">Notebooks 11 and 12 at https://github.com/m1110/cold-fusion-gap. Status levels of the literature inputs: hot-fusion and waste figures are from secondary sources and press releases (2025–2026) unless noted, to be checked against primary publications before citation.</w:t>
      </w:r>
    </w:p>
    <w:p>
      <w:pPr>
        <w:pStyle w:val="BodyText"/>
      </w:pPr>
      <w:r>
        <w:rPr>
          <w:bCs/>
          <w:b/>
        </w:rPr>
        <w:t xml:space="preserve">Acknowledgements.</w:t>
      </w:r>
      <w:r>
        <w:t xml:space="preserve"> </w:t>
      </w:r>
      <w:r>
        <w:t xml:space="preserve">Analysis and drafting assisted by an AI model (Claude, Anthropic).</w:t>
      </w:r>
    </w:p>
    <w:bookmarkEnd w:id="28"/>
    <w:bookmarkStart w:id="29" w:name="X1b0838627ad4f062aa0e54ff514aedbeb436b63"/>
    <w:p>
      <w:pPr>
        <w:pStyle w:val="Heading1"/>
      </w:pPr>
      <w:r>
        <w:t xml:space="preserve">Sources (secondary unless noted; to be checked)</w:t>
      </w:r>
    </w:p>
    <w:p>
      <w:pPr>
        <w:numPr>
          <w:ilvl w:val="0"/>
          <w:numId w:val="1003"/>
        </w:numPr>
        <w:pStyle w:val="Compact"/>
      </w:pPr>
      <w:r>
        <w:t xml:space="preserve">Karahadian M. et al., Nat. Commun. 17, 8845 (2026), arXiv:2512.06212 (read in full).</w:t>
      </w:r>
    </w:p>
    <w:p>
      <w:pPr>
        <w:numPr>
          <w:ilvl w:val="0"/>
          <w:numId w:val="1003"/>
        </w:numPr>
        <w:pStyle w:val="Compact"/>
      </w:pPr>
      <w:r>
        <w:t xml:space="preserve">NASA Glenn lattice confinement fusion, Phys. Rev. C 101 (2020), two papers.</w:t>
      </w:r>
    </w:p>
    <w:p>
      <w:pPr>
        <w:numPr>
          <w:ilvl w:val="0"/>
          <w:numId w:val="1003"/>
        </w:numPr>
        <w:pStyle w:val="Compact"/>
      </w:pPr>
      <w:r>
        <w:t xml:space="preserve">LLNL NIF announcements (2025): 8.6 MJ, target gain 4.13.</w:t>
      </w:r>
    </w:p>
    <w:p>
      <w:pPr>
        <w:numPr>
          <w:ilvl w:val="0"/>
          <w:numId w:val="1003"/>
        </w:numPr>
        <w:pStyle w:val="Compact"/>
      </w:pPr>
      <w:r>
        <w:t xml:space="preserve">Helion Energy announcements (Feb 2026).</w:t>
      </w:r>
    </w:p>
    <w:p>
      <w:pPr>
        <w:numPr>
          <w:ilvl w:val="0"/>
          <w:numId w:val="1003"/>
        </w:numPr>
        <w:pStyle w:val="Compact"/>
      </w:pPr>
      <w:r>
        <w:t xml:space="preserve">Putvinski S. et al., Nucl. Fusion (2019), p–¹¹B power balance; Ochs I. E. et al., Phys. Plasmas (2024, 2026).</w:t>
      </w:r>
    </w:p>
    <w:p>
      <w:pPr>
        <w:numPr>
          <w:ilvl w:val="0"/>
          <w:numId w:val="1003"/>
        </w:numPr>
        <w:pStyle w:val="Compact"/>
      </w:pPr>
      <w:r>
        <w:t xml:space="preserve">Giuffrida L. et al., Phys. Rev. E 101 (2020): laser-driven p–¹¹B alphas.</w:t>
      </w:r>
    </w:p>
    <w:p>
      <w:pPr>
        <w:numPr>
          <w:ilvl w:val="0"/>
          <w:numId w:val="1003"/>
        </w:numPr>
        <w:pStyle w:val="Compact"/>
      </w:pPr>
      <w:r>
        <w:t xml:space="preserve">LPPFusion, Front. Phys. (2024); workshop presentation (2025).</w:t>
      </w:r>
    </w:p>
    <w:p>
      <w:pPr>
        <w:numPr>
          <w:ilvl w:val="0"/>
          <w:numId w:val="1003"/>
        </w:numPr>
        <w:pStyle w:val="Compact"/>
      </w:pPr>
      <w:r>
        <w:t xml:space="preserve">UKAEA studies of DEMO waste (Bailey et al., Nucl. Fusion 61, 036010, 2021).</w:t>
      </w:r>
    </w:p>
    <w:p>
      <w:pPr>
        <w:numPr>
          <w:ilvl w:val="0"/>
          <w:numId w:val="1003"/>
        </w:numPr>
        <w:pStyle w:val="Compact"/>
      </w:pPr>
      <w:r>
        <w:t xml:space="preserve">MYRRHA / SCK CEN publications (EPJ-N 2019, 2020); SINAP announcements on TMSR-LF1 (2025).</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fusion at rest: energetic deuterons in metals, ignition, and low-waste nuclear options</dc:title>
  <dc:creator>[Author names to be added]</dc:creator>
  <cp:keywords/>
  <dcterms:created xsi:type="dcterms:W3CDTF">2026-10-13T14:43:46Z</dcterms:created>
  <dcterms:modified xsi:type="dcterms:W3CDTF">2026-10-13T14:43:46Z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Fusion of deuterons at rest in metals is 98–114 orders of magnitude below practical rates, and the anomalous screening seen in beam experiments cannot close the gap without producing neutrons that null searches exclude (companion preprint). This note surveys the remaining paths. (1) Energetic deuterons inside metals (lattice confinement fusion, beam-loaded PdD): a slowing-down calculation gives an energy return of at most ~3×10⁻⁵ per deuteron in PdD (~6×10⁻⁴ for an idealised pure-deuterium target), 3–4.5 orders below breakeven. Screening of up to 1.7 keV does not change the best case, because electronic stopping, not the Coulomb barrier, dominates. (2) Catalysis: muons remain the only physical catalyst, ~9× from net electricity. (3) Hot fusion: laser ignition is established (target gain ≈ 4.1 in 2025), and the remaining gap to a power plant is under one order of magnitude in target gain, plus driver efficiency. (4) Waste: fission always produces fission products. Partitioning and transmutation can shorten the hazard from ~300,000 to ~300 years. d–t fusion leaves activated structure (limited by carbon-14 in steels), and only aneutronic p–¹¹B would come close to “deposit-free”, but its power balance against bremsstrahlung is marginal.</vt:lpwstr>
  </property>
  <property fmtid="{D5CDD505-2E9C-101B-9397-08002B2CF9AE}" pid="3" name="date">
    <vt:lpwstr>Technical note, October 2026</vt:lpwstr>
  </property>
</Properties>
</file>