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察哈素选煤厂无线监测系统试用报告</w:t>
      </w: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</w:t>
      </w:r>
    </w:p>
    <w:p>
      <w:pPr>
        <w:ind w:firstLine="1325" w:firstLineChars="30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t>上海鸣志自动控制设备有限公司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2020年4月17日</w:t>
      </w: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国电建投内蒙能源有限公司察哈素选煤厂（以下简称察哈素选煤厂）为了数字化、智能化选煤厂的建设目标，为了提高企业设备管理水平，决定对部分重点设备实施无线状态监测。无线监测系统主要是重要设备的运行状态，包括振动、温度等数据，为了更好地、高质量地做好无线监测系统项目，决定首先选定上海鸣志自动控制设备有限公司对201皮带机驱动部分进行无线监测试用，从而能够对无线监测系统的实施和试用有一个更全面的、深入的了解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试用架构图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试用选定201皮带机驱动部分，配置12个传感器和1个无线监测控制器，由于是试用，暂时不配置服务器，无线监测控制器数据直接通过4G上传至阿里云服务器，选煤厂相关领导和技术人员可以通过电脑（由于厂内电脑受外网限制，我们为选煤厂配置了一台4G网络笔记本电脑）和手机APP查看设备运行状态。架构图如下图1。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805680" cy="2324735"/>
            <wp:effectExtent l="0" t="0" r="1397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        </w:t>
      </w:r>
      <w:r>
        <w:rPr>
          <w:rFonts w:hint="eastAsia"/>
          <w:sz w:val="30"/>
          <w:szCs w:val="30"/>
          <w:lang w:val="en-US" w:eastAsia="zh-CN"/>
        </w:rPr>
        <w:t>图1 试用架构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测点布置及安装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3.1 传感器布置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传感器及无线监测控制器布置如下表1.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           表1</w:t>
      </w:r>
    </w:p>
    <w:tbl>
      <w:tblPr>
        <w:tblStyle w:val="3"/>
        <w:tblW w:w="8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37"/>
        <w:gridCol w:w="1409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测点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传感器</w:t>
            </w:r>
          </w:p>
        </w:tc>
        <w:tc>
          <w:tcPr>
            <w:tcW w:w="254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无线监测控制器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201皮带机</w:t>
            </w: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1#电机非联轴端水平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900" w:firstLineChars="30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1#电机联轴端垂直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1#耦合器输入端垂直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1#耦合器输出端轴向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1#减速箱输入轴垂直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1#减速箱输出轴水平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1#辊筒联轴端水平</w:t>
            </w:r>
          </w:p>
        </w:tc>
        <w:tc>
          <w:tcPr>
            <w:tcW w:w="140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1#辊筒非联轴端垂直</w:t>
            </w: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2#电机非联轴端水平</w:t>
            </w: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2#电机联轴端垂直</w:t>
            </w: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2#减速箱输入轴垂直</w:t>
            </w: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2#减速箱输出轴水平</w:t>
            </w: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2546" w:type="dxa"/>
            <w:vMerge w:val="continue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合计</w:t>
            </w:r>
          </w:p>
        </w:tc>
        <w:tc>
          <w:tcPr>
            <w:tcW w:w="29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12</w:t>
            </w:r>
          </w:p>
        </w:tc>
        <w:tc>
          <w:tcPr>
            <w:tcW w:w="25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900" w:firstLineChars="300"/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3.2安装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无线监测控制器使用螺栓固定于厂房大门内右侧墙壁上，高度1.5米。传感器试用金属胶固定在设备轴承部位。如下图2所示。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31603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图2 现场安装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数据测量对比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2010年4月10日现场安装完成并开始上传监测数据，为了保证数据的准确性，我们使用MS-502振动分析仪和红外测温仪与无线监测系统数据进行对比，表2为对比表。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           表2  数据对比情况</w:t>
      </w:r>
    </w:p>
    <w:tbl>
      <w:tblPr>
        <w:tblStyle w:val="3"/>
        <w:tblW w:w="8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1204"/>
        <w:gridCol w:w="1364"/>
        <w:gridCol w:w="875"/>
        <w:gridCol w:w="1182"/>
        <w:gridCol w:w="1306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443" w:type="dxa"/>
            <w:gridSpan w:val="3"/>
          </w:tcPr>
          <w:p>
            <w:pPr>
              <w:numPr>
                <w:ilvl w:val="0"/>
                <w:numId w:val="0"/>
              </w:numPr>
              <w:ind w:firstLine="840" w:firstLineChars="400"/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无线监测系统</w:t>
            </w:r>
          </w:p>
        </w:tc>
        <w:tc>
          <w:tcPr>
            <w:tcW w:w="2488" w:type="dxa"/>
            <w:gridSpan w:val="2"/>
          </w:tcPr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MS-502振动分析仪</w:t>
            </w:r>
          </w:p>
        </w:tc>
        <w:tc>
          <w:tcPr>
            <w:tcW w:w="887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红外测温仪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测点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速度mm/s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加速度m/s2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温度℃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速度mm/s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加速度m/s2</w:t>
            </w:r>
          </w:p>
        </w:tc>
        <w:tc>
          <w:tcPr>
            <w:tcW w:w="887" w:type="dxa"/>
            <w:vMerge w:val="continue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1#电机非联轴端水平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0.82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26.13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0.79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23.07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1#电机联轴端垂直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0.47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21.23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0.51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19.21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1#耦合器输入端垂直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1.44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82.24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1.68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78.17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1#耦合器输出端轴向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2.42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20.12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2.69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18.97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1#减速箱输入轴垂直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0.91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12.12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0.92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10.88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1#减速箱输出轴水平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0.44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9.69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0.61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8.98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1#辊筒联轴端水平</w:t>
            </w:r>
          </w:p>
        </w:tc>
        <w:tc>
          <w:tcPr>
            <w:tcW w:w="120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0.31</w:t>
            </w:r>
          </w:p>
        </w:tc>
        <w:tc>
          <w:tcPr>
            <w:tcW w:w="1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0.65</w:t>
            </w:r>
          </w:p>
        </w:tc>
        <w:tc>
          <w:tcPr>
            <w:tcW w:w="8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1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0.36</w:t>
            </w:r>
          </w:p>
        </w:tc>
        <w:tc>
          <w:tcPr>
            <w:tcW w:w="13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1#辊筒非联轴端垂直</w:t>
            </w:r>
          </w:p>
        </w:tc>
        <w:tc>
          <w:tcPr>
            <w:tcW w:w="12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0.26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0.54</w:t>
            </w:r>
          </w:p>
        </w:tc>
        <w:tc>
          <w:tcPr>
            <w:tcW w:w="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0.26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2#电机非联轴端水平</w:t>
            </w:r>
          </w:p>
        </w:tc>
        <w:tc>
          <w:tcPr>
            <w:tcW w:w="12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1.06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12.33</w:t>
            </w:r>
          </w:p>
        </w:tc>
        <w:tc>
          <w:tcPr>
            <w:tcW w:w="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1.03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10.98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2#电机联轴端垂直</w:t>
            </w:r>
          </w:p>
        </w:tc>
        <w:tc>
          <w:tcPr>
            <w:tcW w:w="12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0.42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13.17</w:t>
            </w:r>
          </w:p>
        </w:tc>
        <w:tc>
          <w:tcPr>
            <w:tcW w:w="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0.53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14.66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2#减速箱输入轴垂直</w:t>
            </w:r>
          </w:p>
        </w:tc>
        <w:tc>
          <w:tcPr>
            <w:tcW w:w="12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0.65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9.78</w:t>
            </w:r>
          </w:p>
        </w:tc>
        <w:tc>
          <w:tcPr>
            <w:tcW w:w="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0.52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10.77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2#减速箱输出轴水平</w:t>
            </w:r>
          </w:p>
        </w:tc>
        <w:tc>
          <w:tcPr>
            <w:tcW w:w="12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0.52</w:t>
            </w:r>
          </w:p>
        </w:tc>
        <w:tc>
          <w:tcPr>
            <w:tcW w:w="13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11.24</w:t>
            </w:r>
          </w:p>
        </w:tc>
        <w:tc>
          <w:tcPr>
            <w:tcW w:w="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11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0.48</w:t>
            </w:r>
          </w:p>
        </w:tc>
        <w:tc>
          <w:tcPr>
            <w:tcW w:w="13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10.98</w:t>
            </w:r>
          </w:p>
        </w:tc>
        <w:tc>
          <w:tcPr>
            <w:tcW w:w="8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</w:tr>
    </w:tbl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从表2中看出，无线监测系统振动速度、振动加速度以及温度值与MS-502振动分析仪以及红外测温仪数据基本吻合。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交付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5.1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由于察哈素选煤厂办公网络不能登录系统查看，配置了一台笔记本电脑，可以使用4G上网。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5.2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上网地址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begin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instrText xml:space="preserve"> HYPERLINK "http://47.103.33.61/bldcxstonline/AppZX/main.aspx" </w:instrTex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http://47.103.33.61/bldcxstonline/AppZX/main.aspx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fldChar w:fldCharType="end"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；账号GUEST，无密码。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5.3客户相关人员已经安装手机APP，账号GUEST，无密码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5.4数值上传周期2分钟，频谱上传周期4小时。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5.3振动速度报警值已经按照ISO标准设置；加速度标准已经按照推荐标准设置；温度标准按照相关国标设置。设备运行一个月后，按照运行情况适当调整标准。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5.4运行一个月后，根据设备运行情况安装自动诊断和自动报告模块。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5.5已经交付客户相关人员，并可在适当时间对客户相关人员进行故障诊断基础知识培训。</w:t>
      </w:r>
    </w:p>
    <w:p>
      <w:pPr>
        <w:numPr>
          <w:ilvl w:val="0"/>
          <w:numId w:val="0"/>
        </w:numPr>
        <w:ind w:leftChars="0"/>
        <w:jc w:val="both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5.6交付后上海鸣志负责24小时状态监控，并在第一个月出具设备状态周报，第二个月开始出具设备状态月报。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F75BF"/>
    <w:multiLevelType w:val="singleLevel"/>
    <w:tmpl w:val="D59F75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96520"/>
    <w:rsid w:val="0FC96520"/>
    <w:rsid w:val="65262488"/>
    <w:rsid w:val="732436AA"/>
    <w:rsid w:val="7986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2020-04-18T12:40:00Z</dcterms:created>
  <dc:creator>不迷</dc:creator>
  <cp:lastModifiedBy>不迷</cp:lastModifiedBy>
  <dcterms:modified xsi:type="dcterms:W3CDTF">2020-04-19T12:52:33Z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