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"/>
      </w:pPr>
      <w:r>
        <w:rPr>
          <w:rFonts w:ascii="Calibri" w:cs="Calibri" w:eastAsia="Calibri" w:hAnsi="Calibri"/>
          <w:b/>
          <w:bCs/>
          <w:color w:val="A87B00"/>
          <w:spacing w:val="20"/>
          <w:sz w:val="18"/>
          <w:szCs w:val="18"/>
        </w:rPr>
        <w:t xml:space="preserve">PLANTILLA PARA DILIGENCIAR · UNIDAD 3 · SESIÓN 2</w:t>
      </w:r>
    </w:p>
    <w:p>
      <w:pPr>
        <w:spacing w:after="20"/>
      </w:pPr>
      <w:r>
        <w:rPr>
          <w:rFonts w:ascii="Cambria" w:cs="Cambria" w:eastAsia="Cambria" w:hAnsi="Cambria"/>
          <w:b/>
          <w:bCs/>
          <w:color w:val="1A1A1A"/>
          <w:sz w:val="44"/>
          <w:szCs w:val="44"/>
        </w:rPr>
        <w:t xml:space="preserve">Ingeniería de Requisitos</w:t>
      </w:r>
    </w:p>
    <w:p>
      <w:pPr>
        <w:pBdr>
          <w:bottom w:val="single" w:color="FFCC29" w:sz="18" w:space="10"/>
        </w:pBdr>
        <w:spacing w:after="260"/>
      </w:pP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Guía de entrevista de elicitación</w:t>
      </w:r>
    </w:p>
    <w:p>
      <w:pPr>
        <w:spacing w:after="20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Preparen aquí la entrevista semiestructurada que van a aplicar a un stakeholder real de su propio proyecto, siguiendo el método de la guía teórica (sección 1) y el mismo nivel de detalle del Ejemplo resuelto sobre el proyecto PQRS.</w:t>
      </w:r>
    </w:p>
    <w:tbl>
      <w:tblPr>
        <w:tblW w:type="dxa" w:w="9360"/>
        <w:tblBorders>
          <w:top w:val="single" w:color="FFCC29" w:sz="6"/>
          <w:left w:val="single" w:color="E0AC0E" w:sz="24"/>
          <w:bottom w:val="single" w:color="FFCC29" w:sz="6"/>
          <w:right w:val="single" w:color="FFCC29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6D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Cómo diligenciar esta plantilla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Escriban primero el objetivo: qué es lo que no saben y esperan saber al terminar. Ordenen las preguntas en embudo —contexto, proceso, excepciones, datos— e incluyan al menos dos preguntas libres de contexto (Gause &amp; Weinberg). Ninguna pregunta debe contener la respuesta que ustedes esperan.</w:t>
            </w:r>
          </w:p>
        </w:tc>
      </w:tr>
    </w:tbl>
    <w:p>
      <w:pPr>
        <w:spacing w:after="160"/>
      </w:pPr>
    </w:p>
    <w:p>
      <w:pPr>
        <w:pBdr>
          <w:bottom w:val="single" w:color="FFCC29" w:sz="8" w:space="6"/>
        </w:pBdr>
        <w:spacing w:after="160" w:before="420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1.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Identificación de la entrevista</w:t>
      </w:r>
    </w:p>
    <w:tbl>
      <w:tblPr>
        <w:tblW w:type="dxa" w:w="9360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7B00"/>
                <w:sz w:val="19"/>
                <w:szCs w:val="19"/>
              </w:rPr>
              <w:t xml:space="preserve">Objetivo de la entrevista (qué desconocen y esperan saber al terminar)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i/>
                <w:iCs/>
                <w:color w:val="AFAFAF"/>
                <w:sz w:val="19"/>
                <w:szCs w:val="19"/>
              </w:rPr>
              <w:t xml:space="preserve">Ej.: reconstruir paso a paso qué ocurre con una solicitud desde que entra hasta que se cierra, e identificar dónde se pierde el control del tiempo.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</w:tbl>
    <w:tbl>
      <w:tblPr>
        <w:tblW w:type="dxa" w:w="9360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7B00"/>
                <w:sz w:val="19"/>
                <w:szCs w:val="19"/>
              </w:rPr>
              <w:t xml:space="preserve">Entrevistado, cargo y rol en el proyecto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</w:tbl>
    <w:tbl>
      <w:tblPr>
        <w:tblW w:type="dxa" w:w="9360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7B00"/>
                <w:sz w:val="19"/>
                <w:szCs w:val="19"/>
              </w:rPr>
              <w:t xml:space="preserve">Fecha, hora y lugar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</w:tbl>
    <w:tbl>
      <w:tblPr>
        <w:tblW w:type="dxa" w:w="9360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7B00"/>
                <w:sz w:val="19"/>
                <w:szCs w:val="19"/>
              </w:rPr>
              <w:t xml:space="preserve">Entrevistador / Relator (personas distintas)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</w:tbl>
    <w:tbl>
      <w:tblPr>
        <w:tblW w:type="dxa" w:w="9360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7B00"/>
                <w:sz w:val="19"/>
                <w:szCs w:val="19"/>
              </w:rPr>
              <w:t xml:space="preserve">Tipo de entrevista y permiso de grabación (sí / no, y cómo se pidió)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</w:tbl>
    <w:p>
      <w:pPr>
        <w:spacing w:after="200"/>
      </w:pPr>
    </w:p>
    <w:p>
      <w:pPr>
        <w:pBdr>
          <w:bottom w:val="single" w:color="FFCC29" w:sz="8" w:space="6"/>
        </w:pBdr>
        <w:spacing w:after="160" w:before="420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2.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Apertura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Escriban textualmente cómo van a abrir: propósito de la entrevista, uso que se dará a la información y confidencialidad, y petición de permiso para grabar.</w:t>
      </w:r>
    </w:p>
    <w:tbl>
      <w:tblPr>
        <w:tblW w:type="dxa" w:w="9360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7B00"/>
                <w:sz w:val="19"/>
                <w:szCs w:val="19"/>
              </w:rPr>
              <w:t xml:space="preserve">Guion de apertura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</w:tbl>
    <w:p>
      <w:pPr>
        <w:spacing w:after="200"/>
      </w:pPr>
    </w:p>
    <w:p>
      <w:pPr>
        <w:pBdr>
          <w:bottom w:val="single" w:color="FFCC29" w:sz="8" w:space="6"/>
        </w:pBdr>
        <w:spacing w:after="160" w:before="420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3.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Preguntas de contexto (boca del embudo)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Dos o tres preguntas abiertas amplias, para que el entrevistado enmarque el tema con sus propias palabras.</w:t>
      </w:r>
    </w:p>
    <w:tbl>
      <w:tblPr>
        <w:tblW w:type="dxa" w:w="9360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7B00"/>
                <w:sz w:val="19"/>
                <w:szCs w:val="19"/>
              </w:rPr>
              <w:t xml:space="preserve">Preguntas de contexto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</w:tbl>
    <w:p>
      <w:pPr>
        <w:spacing w:after="160"/>
      </w:pPr>
    </w:p>
    <w:p>
      <w:pPr>
        <w:pBdr>
          <w:bottom w:val="single" w:color="FFCC29" w:sz="8" w:space="6"/>
        </w:pBdr>
        <w:spacing w:after="160" w:before="420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4.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Preguntas libres de contexto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Al menos dos, sin presuponer nada sobre la solución: quién es realmente el cliente, qué sería una solución exitosa y cómo lo sabríamos, qué restricciones debemos conocer, a quién más deberíamos preguntarle.</w:t>
      </w:r>
    </w:p>
    <w:tbl>
      <w:tblPr>
        <w:tblW w:type="dxa" w:w="9360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7B00"/>
                <w:sz w:val="19"/>
                <w:szCs w:val="19"/>
              </w:rPr>
              <w:t xml:space="preserve">Preguntas libres de contexto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</w:tbl>
    <w:p>
      <w:pPr>
        <w:spacing w:after="160"/>
      </w:pPr>
    </w:p>
    <w:p>
      <w:pPr>
        <w:pBdr>
          <w:bottom w:val="single" w:color="FFCC29" w:sz="8" w:space="6"/>
        </w:pBdr>
        <w:spacing w:after="160" w:before="420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5.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Preguntas núcleo: proceso y excepciones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Cuerpo del embudo: el recorrido del proceso con casos concretos y recientes, y después las excepciones — qué pasa cuando algo sale mal.</w:t>
      </w:r>
    </w:p>
    <w:tbl>
      <w:tblPr>
        <w:tblW w:type="dxa" w:w="9360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7B00"/>
                <w:sz w:val="19"/>
                <w:szCs w:val="19"/>
              </w:rPr>
              <w:t xml:space="preserve">Preguntas sobre el proceso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</w:tbl>
    <w:tbl>
      <w:tblPr>
        <w:tblW w:type="dxa" w:w="9360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7B00"/>
                <w:sz w:val="19"/>
                <w:szCs w:val="19"/>
              </w:rPr>
              <w:t xml:space="preserve">Preguntas sobre excepciones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</w:tbl>
    <w:p>
      <w:pPr>
        <w:spacing w:after="160"/>
      </w:pPr>
    </w:p>
    <w:p>
      <w:pPr>
        <w:pBdr>
          <w:bottom w:val="single" w:color="FFCC29" w:sz="8" w:space="6"/>
        </w:pBdr>
        <w:spacing w:after="160" w:before="420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6.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Preguntas de sondeo previstas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Anoten las frases de sondeo que piensan usar: eco, petición de ejemplo concreto, petición de demostración, parafraseo de verificación, pregunta por la excepción. No todas se usarán; tenerlas escritas evita quedarse sin recurso en el momento.</w:t>
      </w:r>
    </w:p>
    <w:tbl>
      <w:tblPr>
        <w:tblW w:type="dxa" w:w="9360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7B00"/>
                <w:sz w:val="19"/>
                <w:szCs w:val="19"/>
              </w:rPr>
              <w:t xml:space="preserve">Sondeos previstos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</w:tbl>
    <w:p>
      <w:pPr>
        <w:spacing w:after="160"/>
      </w:pPr>
    </w:p>
    <w:p>
      <w:pPr>
        <w:pBdr>
          <w:bottom w:val="single" w:color="FFCC29" w:sz="8" w:space="6"/>
        </w:pBdr>
        <w:spacing w:after="160" w:before="420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7.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Preguntas de datos (cuello del embudo)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Cerradas: volúmenes, tiempos, cantidades, verificaciones de lo que el análisis documental ya respondió.</w:t>
      </w:r>
    </w:p>
    <w:tbl>
      <w:tblPr>
        <w:tblW w:type="dxa" w:w="9360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7B00"/>
                <w:sz w:val="19"/>
                <w:szCs w:val="19"/>
              </w:rPr>
              <w:t xml:space="preserve">Preguntas cerradas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</w:tbl>
    <w:p>
      <w:pPr>
        <w:spacing w:after="160"/>
      </w:pPr>
    </w:p>
    <w:p>
      <w:pPr>
        <w:pBdr>
          <w:bottom w:val="single" w:color="FFCC29" w:sz="8" w:space="6"/>
        </w:pBdr>
        <w:spacing w:after="160" w:before="420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8.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Cierre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Dos movimientos obligatorios: sintetizar de vuelta lo entendido para que el entrevistado lo corrija, y la pregunta de rescate.</w:t>
      </w:r>
    </w:p>
    <w:tbl>
      <w:tblPr>
        <w:tblW w:type="dxa" w:w="9360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7B00"/>
                <w:sz w:val="19"/>
                <w:szCs w:val="19"/>
              </w:rPr>
              <w:t xml:space="preserve">Síntesis de vuelta (se redacta durante la entrevista)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</w:tbl>
    <w:tbl>
      <w:tblPr>
        <w:tblW w:type="dxa" w:w="9360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7B00"/>
                <w:sz w:val="19"/>
                <w:szCs w:val="19"/>
              </w:rPr>
              <w:t xml:space="preserve">Preguntas de cierre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i/>
                <w:iCs/>
                <w:color w:val="AFAFAF"/>
                <w:sz w:val="19"/>
                <w:szCs w:val="19"/>
              </w:rPr>
              <w:t xml:space="preserve">¿Qué no le pregunté que debería haberle preguntado? · ¿Quién más debería contarme esto?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</w:tbl>
    <w:p>
      <w:pPr>
        <w:spacing w:after="200"/>
      </w:pPr>
    </w:p>
    <w:p>
      <w:pPr>
        <w:pBdr>
          <w:bottom w:val="single" w:color="FFCC29" w:sz="8" w:space="6"/>
        </w:pBdr>
        <w:spacing w:after="160" w:before="420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9.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Notas y hallazgos (dentro de las 24 horas siguientes)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Separen lo que se observó o se dijo, de lo que la persona necesita, de lo que ustedes proponen como requisito. Los tres se confunden con facilidad.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20"/>
        <w:gridCol w:w="2620"/>
        <w:gridCol w:w="3020"/>
      </w:tblGrid>
      <w:tr>
        <w:trPr>
          <w:tblHeader/>
        </w:trPr>
        <w:tc>
          <w:tcPr>
            <w:tcW w:type="dxa" w:w="700"/>
            <w:shd w:fill="1A1A1A" w:color="auto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20"/>
            <w:shd w:fill="1A1A1A" w:color="auto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Hecho declarado u observado</w:t>
            </w:r>
          </w:p>
        </w:tc>
        <w:tc>
          <w:tcPr>
            <w:tcW w:type="dxa" w:w="2620"/>
            <w:shd w:fill="1A1A1A" w:color="auto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Necesidad expresada</w:t>
            </w:r>
          </w:p>
        </w:tc>
        <w:tc>
          <w:tcPr>
            <w:tcW w:type="dxa" w:w="3020"/>
            <w:shd w:fill="1A1A1A" w:color="auto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Requisito candidato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302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262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302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302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262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302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302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262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302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302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262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302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302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262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302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302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262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302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302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262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302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302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262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302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</w:tbl>
    <w:p>
      <w:pPr>
        <w:spacing w:after="200"/>
      </w:pPr>
    </w:p>
    <w:p>
      <w:pPr>
        <w:pBdr>
          <w:bottom w:val="single" w:color="FFCC29" w:sz="8" w:space="6"/>
        </w:pBdr>
        <w:spacing w:after="160" w:before="420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10.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Dudas pendientes y validación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shd w:fill="1A1A1A" w:color="auto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Duda pendiente</w:t>
            </w:r>
          </w:p>
        </w:tc>
        <w:tc>
          <w:tcPr>
            <w:tcW w:type="dxa" w:w="3360"/>
            <w:shd w:fill="1A1A1A" w:color="auto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 quién preguntarle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7B00"/>
                <w:sz w:val="19"/>
                <w:szCs w:val="19"/>
              </w:rPr>
              <w:t xml:space="preserve">Fecha de envío al entrevistado para validación y respuesta recibida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Calibri" w:cs="Calibri" w:eastAsia="Calibri" w:hAnsi="Calibri"/>
          <w:i/>
          <w:iCs/>
          <w:color w:val="5F5F5F"/>
          <w:sz w:val="19"/>
          <w:szCs w:val="19"/>
        </w:rPr>
        <w:t xml:space="preserve">Este documento se sube al repositorio del equipo en 02-elicitacion/, por pull request desde una rama propia — con al menos un commit propio de cada integrante y revisión cruzada de otro integrante antes de fusionar. Si usaron IA para transcribir o resumir el audio, declárenlo e indiquen qué verificaron a mano.</w:t>
      </w:r>
    </w:p>
    <w:sectPr>
      <w:headerReference w:type="default" r:id="rId7"/>
      <w:footerReference w:type="default" r:id="rId8"/>
      <w:pgSz w:w="12240" w:h="15840" w:orient="portrait"/>
      <w:pgMar w:top="1440" w:right="1080" w:bottom="13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2E2" w:sz="4" w:space="6"/>
      </w:pBdr>
      <w:tabs>
        <w:tab w:val="right" w:pos="9026"/>
      </w:tabs>
    </w:pPr>
    <w:r>
      <w:rPr>
        <w:rFonts w:ascii="Calibri" w:cs="Calibri" w:eastAsia="Calibri" w:hAnsi="Calibri"/>
        <w:color w:val="5F5F5F"/>
        <w:sz w:val="16"/>
        <w:szCs w:val="16"/>
      </w:rPr>
      <w:t xml:space="preserve">UPTC · Facultad de Ingeniería</w:t>
    </w:r>
    <w:r>
      <w:rPr>
        <w:rFonts w:ascii="Calibri" w:cs="Calibri" w:eastAsia="Calibri" w:hAnsi="Calibri"/>
        <w:color w:val="5F5F5F"/>
        <w:sz w:val="16"/>
        <w:szCs w:val="16"/>
      </w:rPr>
      <w:t xml:space="preserve">	Guía de entrevista de elicitación   ·   Página </w:t>
    </w:r>
    <w:r>
      <w:rPr>
        <w:rFonts w:ascii="Calibri" w:cs="Calibri" w:eastAsia="Calibri" w:hAnsi="Calibri"/>
        <w:color w:val="5F5F5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</w:pPr>
    <w:r>
      <w:drawing>
        <wp:inline distT="0" distB="0" distL="0" distR="0">
          <wp:extent cx="81915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FFCC29" w:sz="10" w:space="4"/>
      </w:pBdr>
      <w:spacing w:after="200"/>
    </w:pPr>
    <w:r>
      <w:rPr>
        <w:rFonts w:ascii="Cambria" w:cs="Cambria" w:eastAsia="Cambria" w:hAnsi="Cambria"/>
        <w:b/>
        <w:bCs/>
        <w:color w:val="5F5F5F"/>
        <w:sz w:val="15"/>
        <w:szCs w:val="15"/>
      </w:rPr>
      <w:t xml:space="preserve">INGENIERÍA DE REQUISITOS</w:t>
    </w:r>
    <w:r>
      <w:rPr>
        <w:rFonts w:ascii="Cambria" w:cs="Cambria" w:eastAsia="Cambria" w:hAnsi="Cambria"/>
        <w:i/>
        <w:iCs/>
        <w:color w:val="5F5F5F"/>
        <w:sz w:val="15"/>
        <w:szCs w:val="15"/>
      </w:rPr>
      <w:t xml:space="preserve">   ·   Unidad 3 · Sesión 2 · Plantilla para diligenciar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22e6e6b817107eb04572a93b204b68290c97f3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2026-09-14T03:50:20.948Z</dcterms:created>
  <dcterms:modified xsi:type="dcterms:W3CDTF">2026-09-14T03:50:20.948Z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