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2"/>
        </w:rPr>
        <w:t xml:space="preserve">Audio XX  —  </w:t>
      </w:r>
      <w:r>
        <w:rPr>
          <w:rFonts w:ascii="Arial" w:hAnsi="Arial"/>
          <w:sz w:val="22"/>
        </w:rPr>
        <w:t>Design Note</w:t>
      </w:r>
    </w:p>
    <w:p>
      <w:r>
        <w:rPr>
          <w:rFonts w:ascii="Arial" w:hAnsi="Arial"/>
          <w:b/>
          <w:sz w:val="22"/>
        </w:rPr>
        <w:t xml:space="preserve">Backlog Item: </w:t>
      </w:r>
      <w:r>
        <w:rPr>
          <w:rFonts w:ascii="Arial" w:hAnsi="Arial"/>
          <w:sz w:val="22"/>
        </w:rPr>
        <w:t>LLM-Assisted Product Inference</w:t>
      </w:r>
    </w:p>
    <w:p>
      <w:r>
        <w:rPr>
          <w:rFonts w:ascii="Arial" w:hAnsi="Arial"/>
          <w:b/>
          <w:sz w:val="22"/>
        </w:rPr>
        <w:t xml:space="preserve">Status: </w:t>
      </w:r>
      <w:r>
        <w:rPr>
          <w:rFonts w:ascii="Arial" w:hAnsi="Arial"/>
          <w:sz w:val="22"/>
        </w:rPr>
        <w:t>Deferred — stabilise deterministic engine first</w:t>
      </w:r>
    </w:p>
    <w:p>
      <w:r>
        <w:rPr>
          <w:rFonts w:ascii="Arial" w:hAnsi="Arial"/>
          <w:b/>
          <w:sz w:val="22"/>
        </w:rPr>
        <w:t xml:space="preserve">Date: </w:t>
      </w:r>
      <w:r>
        <w:rPr>
          <w:rFonts w:ascii="Arial" w:hAnsi="Arial"/>
          <w:sz w:val="22"/>
        </w:rPr>
        <w:t>13 March 2026</w:t>
      </w:r>
    </w:p>
    <w:p>
      <w:r>
        <w:rPr>
          <w:rFonts w:ascii="Arial" w:hAnsi="Arial"/>
          <w:b/>
          <w:sz w:val="22"/>
        </w:rPr>
        <w:t xml:space="preserve">Priority: </w:t>
      </w:r>
      <w:r>
        <w:rPr>
          <w:rFonts w:ascii="Arial" w:hAnsi="Arial"/>
          <w:sz w:val="22"/>
        </w:rPr>
        <w:t>P2 — implement after v1 assessment engine is stable</w:t>
      </w:r>
    </w:p>
    <w:p>
      <w:pPr>
        <w:spacing w:before="200" w:after="200"/>
        <w:pBdr>
          <w:bottom w:val="single" w:sz="4" w:space="1" w:color="CCCCCC"/>
        </w:pBdr>
      </w:pPr>
    </w:p>
    <w:p>
      <w:pPr>
        <w:pStyle w:val="Heading1"/>
      </w:pPr>
      <w:r>
        <w:t>1. Use Case</w:t>
      </w:r>
    </w:p>
    <w:p>
      <w:r>
        <w:rPr>
          <w:rFonts w:ascii="Arial" w:hAnsi="Arial"/>
          <w:sz w:val="22"/>
        </w:rPr>
        <w:t>The deterministic assessment engine classifies component sonic character through three layers: explicit product catalog data (hand-authored primaryAxes and traits), brand-profile text-keyword inference, and architecture-level heuristics. When all three layers return insufficient signal, the component receives neutral axes and contributes nothing to system synthesis.</w:t>
      </w:r>
    </w:p>
    <w:p>
      <w:r>
        <w:rPr>
          <w:rFonts w:ascii="Arial" w:hAnsi="Arial"/>
          <w:sz w:val="22"/>
        </w:rPr>
        <w:t>This is a known gap. The system currently handles it silently — the user sees an assessment but does not know that one or more components were effectively invisible to the reasoning engine.</w:t>
      </w:r>
    </w:p>
    <w:p>
      <w:r>
        <w:rPr>
          <w:rFonts w:ascii="Arial" w:hAnsi="Arial"/>
          <w:b/>
          <w:sz w:val="22"/>
        </w:rPr>
        <w:t>The problem is not limited to total deterministic failure.</w:t>
      </w:r>
      <w:r>
        <w:rPr>
          <w:rFonts w:ascii="Arial" w:hAnsi="Arial"/>
          <w:sz w:val="22"/>
        </w:rPr>
        <w:t xml:space="preserve"> It also applies when deterministic confidence is too low for a useful characterisation — for example, when only a generic brand profile exists for a product whose sonic character diverges significantly from the brand’s typical voice (e.g. a warm DAC from a measurement-focused brand).</w:t>
      </w:r>
    </w:p>
    <w:p>
      <w:r>
        <w:rPr>
          <w:rFonts w:ascii="Arial" w:hAnsi="Arial"/>
          <w:sz w:val="22"/>
        </w:rPr>
        <w:t>An LLM-assisted inference layer would fill this gap by generating a structured, constrained sonic characterisation from the model’s training knowledge of the product. The result feeds the same deterministic pipeline — the LLM is a knowledge-lookup step, not a content generator.</w:t>
      </w:r>
    </w:p>
    <w:p>
      <w:pPr>
        <w:pStyle w:val="Heading1"/>
      </w:pPr>
      <w:r>
        <w:t>2. Trigger Condition</w:t>
      </w:r>
    </w:p>
    <w:p>
      <w:r>
        <w:rPr>
          <w:rFonts w:ascii="Arial" w:hAnsi="Arial"/>
          <w:sz w:val="22"/>
        </w:rPr>
        <w:t>The LLM inference layer activates when deterministic confidence is insufficient for a useful product characterisation. This is broader than total lookup failure. Specifically, it triggers when:</w:t>
      </w:r>
    </w:p>
    <w:p>
      <w:pPr>
        <w:pStyle w:val="ListBullet"/>
      </w:pPr>
      <w:r>
        <w:rPr>
          <w:rFonts w:ascii="Arial" w:hAnsi="Arial"/>
          <w:b/>
          <w:sz w:val="22"/>
        </w:rPr>
        <w:t>No catalog product exists</w:t>
      </w:r>
      <w:r>
        <w:rPr>
          <w:rFonts w:ascii="Arial" w:hAnsi="Arial"/>
          <w:sz w:val="22"/>
        </w:rPr>
        <w:t xml:space="preserve"> and no brand profile exists (complete unknown)</w:t>
      </w:r>
    </w:p>
    <w:p>
      <w:pPr>
        <w:pStyle w:val="ListBullet"/>
      </w:pPr>
      <w:r>
        <w:rPr>
          <w:rFonts w:ascii="Arial" w:hAnsi="Arial"/>
          <w:b/>
          <w:sz w:val="22"/>
        </w:rPr>
        <w:t>Only a generic brand profile exists</w:t>
      </w:r>
      <w:r>
        <w:rPr>
          <w:rFonts w:ascii="Arial" w:hAnsi="Arial"/>
          <w:sz w:val="22"/>
        </w:rPr>
        <w:t xml:space="preserve"> and the product is known to differ from brand-typical character</w:t>
      </w:r>
    </w:p>
    <w:p>
      <w:pPr>
        <w:pStyle w:val="ListBullet"/>
      </w:pPr>
      <w:r>
        <w:rPr>
          <w:rFonts w:ascii="Arial" w:hAnsi="Arial"/>
          <w:b/>
          <w:sz w:val="22"/>
        </w:rPr>
        <w:t>The brand profile produces all-neutral axes</w:t>
      </w:r>
      <w:r>
        <w:rPr>
          <w:rFonts w:ascii="Arial" w:hAnsi="Arial"/>
          <w:sz w:val="22"/>
        </w:rPr>
        <w:t xml:space="preserve"> because the tendency text lacks classifiable keywords</w:t>
      </w:r>
    </w:p>
    <w:p>
      <w:pPr>
        <w:pStyle w:val="ListBullet"/>
      </w:pPr>
      <w:r>
        <w:rPr>
          <w:rFonts w:ascii="Arial" w:hAnsi="Arial"/>
          <w:b/>
          <w:sz w:val="22"/>
        </w:rPr>
        <w:t>The product spans multiple categories</w:t>
      </w:r>
      <w:r>
        <w:rPr>
          <w:rFonts w:ascii="Arial" w:hAnsi="Arial"/>
          <w:sz w:val="22"/>
        </w:rPr>
        <w:t xml:space="preserve"> (e.g. DAC/headphone-amp combo) and the brand profile covers only one</w:t>
      </w:r>
    </w:p>
    <w:p>
      <w:r>
        <w:rPr>
          <w:rFonts w:ascii="Arial" w:hAnsi="Arial"/>
          <w:sz w:val="22"/>
        </w:rPr>
        <w:t>The trigger is evaluated inside classifyComponentAxes at the point where the current code falls through to the all-neutral return path, extended to also check whether the brand-inferred axes are all-neutral (which indicates the text-keyword layer found no useful signal).</w:t>
      </w:r>
    </w:p>
    <w:p>
      <w:pPr>
        <w:pStyle w:val="Heading1"/>
      </w:pPr>
      <w:r>
        <w:t>3. Structured Schema</w:t>
      </w:r>
    </w:p>
    <w:p>
      <w:r>
        <w:rPr>
          <w:rFonts w:ascii="Arial" w:hAnsi="Arial"/>
          <w:sz w:val="22"/>
        </w:rPr>
        <w:t>The LLM call returns a fixed-schema object. No freeform text enters the assessment pipeline. The prompt constrains the model to return only this structure:</w:t>
      </w:r>
    </w:p>
    <w:tbl>
      <w:tblPr>
        <w:tblW w:type="auto" w:w="0"/>
        <w:jc w:val="left"/>
        <w:tblLook w:firstColumn="1" w:firstRow="1" w:lastColumn="0" w:lastRow="0" w:noHBand="0" w:noVBand="1" w:val="04A0"/>
      </w:tblPr>
      <w:tblGrid>
        <w:gridCol w:w="3120"/>
        <w:gridCol w:w="3120"/>
        <w:gridCol w:w="3120"/>
      </w:tblGrid>
      <w:tr>
        <w:tc>
          <w:tcPr>
            <w:tcW w:type="dxa" w:w="3120"/>
            <w:shd w:fill="E8EEF2" w:val="clear"/>
          </w:tcPr>
          <w:p>
            <w:pPr>
              <w:spacing w:after="40"/>
            </w:pPr>
            <w:r>
              <w:rPr>
                <w:rFonts w:ascii="Arial" w:hAnsi="Arial"/>
                <w:b/>
                <w:sz w:val="20"/>
              </w:rPr>
              <w:t>Field</w:t>
            </w:r>
          </w:p>
        </w:tc>
        <w:tc>
          <w:tcPr>
            <w:tcW w:type="dxa" w:w="3120"/>
            <w:shd w:fill="E8EEF2" w:val="clear"/>
          </w:tcPr>
          <w:p>
            <w:pPr>
              <w:spacing w:after="40"/>
            </w:pPr>
            <w:r>
              <w:rPr>
                <w:rFonts w:ascii="Arial" w:hAnsi="Arial"/>
                <w:b/>
                <w:sz w:val="20"/>
              </w:rPr>
              <w:t>Type</w:t>
            </w:r>
          </w:p>
        </w:tc>
        <w:tc>
          <w:tcPr>
            <w:tcW w:type="dxa" w:w="3120"/>
            <w:shd w:fill="E8EEF2" w:val="clear"/>
          </w:tcPr>
          <w:p>
            <w:pPr>
              <w:spacing w:after="40"/>
            </w:pPr>
            <w:r>
              <w:rPr>
                <w:rFonts w:ascii="Arial" w:hAnsi="Arial"/>
                <w:b/>
                <w:sz w:val="20"/>
              </w:rPr>
              <w:t>Description</w:t>
            </w:r>
          </w:p>
        </w:tc>
      </w:tr>
      <w:tr>
        <w:tc>
          <w:tcPr>
            <w:tcW w:type="dxa" w:w="3120"/>
          </w:tcPr>
          <w:p>
            <w:pPr>
              <w:spacing w:after="40"/>
            </w:pPr>
            <w:r>
              <w:rPr>
                <w:rFonts w:ascii="Courier New" w:hAnsi="Courier New"/>
                <w:b w:val="0"/>
                <w:color w:val="555555"/>
                <w:sz w:val="20"/>
              </w:rPr>
              <w:t>warm_bright</w:t>
            </w:r>
          </w:p>
        </w:tc>
        <w:tc>
          <w:tcPr>
            <w:tcW w:type="dxa" w:w="3120"/>
          </w:tcPr>
          <w:p>
            <w:pPr>
              <w:spacing w:after="40"/>
            </w:pPr>
            <w:r>
              <w:rPr>
                <w:rFonts w:ascii="Courier New" w:hAnsi="Courier New"/>
                <w:b w:val="0"/>
                <w:color w:val="555555"/>
                <w:sz w:val="18"/>
              </w:rPr>
              <w:t>'warm' | 'bright' | 'neutral'</w:t>
            </w:r>
          </w:p>
        </w:tc>
        <w:tc>
          <w:tcPr>
            <w:tcW w:type="dxa" w:w="3120"/>
          </w:tcPr>
          <w:p>
            <w:pPr>
              <w:spacing w:after="40"/>
            </w:pPr>
            <w:r>
              <w:rPr>
                <w:rFonts w:ascii="Arial" w:hAnsi="Arial"/>
                <w:b w:val="0"/>
                <w:sz w:val="20"/>
              </w:rPr>
              <w:t>Tonal density axis position</w:t>
            </w:r>
          </w:p>
        </w:tc>
      </w:tr>
      <w:tr>
        <w:tc>
          <w:tcPr>
            <w:tcW w:type="dxa" w:w="3120"/>
            <w:shd w:fill="F7F9FB" w:val="clear"/>
          </w:tcPr>
          <w:p>
            <w:pPr>
              <w:spacing w:after="40"/>
            </w:pPr>
            <w:r>
              <w:rPr>
                <w:rFonts w:ascii="Courier New" w:hAnsi="Courier New"/>
                <w:b w:val="0"/>
                <w:color w:val="555555"/>
                <w:sz w:val="20"/>
              </w:rPr>
              <w:t>smooth_detailed</w:t>
            </w:r>
          </w:p>
        </w:tc>
        <w:tc>
          <w:tcPr>
            <w:tcW w:type="dxa" w:w="3120"/>
            <w:shd w:fill="F7F9FB" w:val="clear"/>
          </w:tcPr>
          <w:p>
            <w:pPr>
              <w:spacing w:after="40"/>
            </w:pPr>
            <w:r>
              <w:rPr>
                <w:rFonts w:ascii="Courier New" w:hAnsi="Courier New"/>
                <w:b w:val="0"/>
                <w:color w:val="555555"/>
                <w:sz w:val="18"/>
              </w:rPr>
              <w:t>'smooth' | 'detailed' | 'neutral'</w:t>
            </w:r>
          </w:p>
        </w:tc>
        <w:tc>
          <w:tcPr>
            <w:tcW w:type="dxa" w:w="3120"/>
            <w:shd w:fill="F7F9FB" w:val="clear"/>
          </w:tcPr>
          <w:p>
            <w:pPr>
              <w:spacing w:after="40"/>
            </w:pPr>
            <w:r>
              <w:rPr>
                <w:rFonts w:ascii="Arial" w:hAnsi="Arial"/>
                <w:b w:val="0"/>
                <w:sz w:val="20"/>
              </w:rPr>
              <w:t>Texture / resolution axis position</w:t>
            </w:r>
          </w:p>
        </w:tc>
      </w:tr>
      <w:tr>
        <w:tc>
          <w:tcPr>
            <w:tcW w:type="dxa" w:w="3120"/>
          </w:tcPr>
          <w:p>
            <w:pPr>
              <w:spacing w:after="40"/>
            </w:pPr>
            <w:r>
              <w:rPr>
                <w:rFonts w:ascii="Courier New" w:hAnsi="Courier New"/>
                <w:b w:val="0"/>
                <w:color w:val="555555"/>
                <w:sz w:val="20"/>
              </w:rPr>
              <w:t>elastic_controlled</w:t>
            </w:r>
          </w:p>
        </w:tc>
        <w:tc>
          <w:tcPr>
            <w:tcW w:type="dxa" w:w="3120"/>
          </w:tcPr>
          <w:p>
            <w:pPr>
              <w:spacing w:after="40"/>
            </w:pPr>
            <w:r>
              <w:rPr>
                <w:rFonts w:ascii="Courier New" w:hAnsi="Courier New"/>
                <w:b w:val="0"/>
                <w:color w:val="555555"/>
                <w:sz w:val="18"/>
              </w:rPr>
              <w:t>'elastic' | 'controlled' | 'neutral'</w:t>
            </w:r>
          </w:p>
        </w:tc>
        <w:tc>
          <w:tcPr>
            <w:tcW w:type="dxa" w:w="3120"/>
          </w:tcPr>
          <w:p>
            <w:pPr>
              <w:spacing w:after="40"/>
            </w:pPr>
            <w:r>
              <w:rPr>
                <w:rFonts w:ascii="Arial" w:hAnsi="Arial"/>
                <w:b w:val="0"/>
                <w:sz w:val="20"/>
              </w:rPr>
              <w:t>Dynamic character axis position</w:t>
            </w:r>
          </w:p>
        </w:tc>
      </w:tr>
      <w:tr>
        <w:tc>
          <w:tcPr>
            <w:tcW w:type="dxa" w:w="3120"/>
            <w:shd w:fill="F7F9FB" w:val="clear"/>
          </w:tcPr>
          <w:p>
            <w:pPr>
              <w:spacing w:after="40"/>
            </w:pPr>
            <w:r>
              <w:rPr>
                <w:rFonts w:ascii="Courier New" w:hAnsi="Courier New"/>
                <w:b w:val="0"/>
                <w:color w:val="555555"/>
                <w:sz w:val="20"/>
              </w:rPr>
              <w:t>airy_closed</w:t>
            </w:r>
          </w:p>
        </w:tc>
        <w:tc>
          <w:tcPr>
            <w:tcW w:type="dxa" w:w="3120"/>
            <w:shd w:fill="F7F9FB" w:val="clear"/>
          </w:tcPr>
          <w:p>
            <w:pPr>
              <w:spacing w:after="40"/>
            </w:pPr>
            <w:r>
              <w:rPr>
                <w:rFonts w:ascii="Courier New" w:hAnsi="Courier New"/>
                <w:b w:val="0"/>
                <w:color w:val="555555"/>
                <w:sz w:val="18"/>
              </w:rPr>
              <w:t>'airy' | 'closed' | 'neutral'</w:t>
            </w:r>
          </w:p>
        </w:tc>
        <w:tc>
          <w:tcPr>
            <w:tcW w:type="dxa" w:w="3120"/>
            <w:shd w:fill="F7F9FB" w:val="clear"/>
          </w:tcPr>
          <w:p>
            <w:pPr>
              <w:spacing w:after="40"/>
            </w:pPr>
            <w:r>
              <w:rPr>
                <w:rFonts w:ascii="Arial" w:hAnsi="Arial"/>
                <w:b w:val="0"/>
                <w:sz w:val="20"/>
              </w:rPr>
              <w:t>Spatial presentation axis position</w:t>
            </w:r>
          </w:p>
        </w:tc>
      </w:tr>
      <w:tr>
        <w:tc>
          <w:tcPr>
            <w:tcW w:type="dxa" w:w="3120"/>
          </w:tcPr>
          <w:p>
            <w:pPr>
              <w:spacing w:after="40"/>
            </w:pPr>
            <w:r>
              <w:rPr>
                <w:rFonts w:ascii="Courier New" w:hAnsi="Courier New"/>
                <w:b w:val="0"/>
                <w:color w:val="555555"/>
                <w:sz w:val="20"/>
              </w:rPr>
              <w:t>confidence</w:t>
            </w:r>
          </w:p>
        </w:tc>
        <w:tc>
          <w:tcPr>
            <w:tcW w:type="dxa" w:w="3120"/>
          </w:tcPr>
          <w:p>
            <w:pPr>
              <w:spacing w:after="40"/>
            </w:pPr>
            <w:r>
              <w:rPr>
                <w:rFonts w:ascii="Courier New" w:hAnsi="Courier New"/>
                <w:b w:val="0"/>
                <w:color w:val="555555"/>
                <w:sz w:val="18"/>
              </w:rPr>
              <w:t>'low' | 'medium'</w:t>
            </w:r>
          </w:p>
        </w:tc>
        <w:tc>
          <w:tcPr>
            <w:tcW w:type="dxa" w:w="3120"/>
          </w:tcPr>
          <w:p>
            <w:pPr>
              <w:spacing w:after="40"/>
            </w:pPr>
            <w:r>
              <w:rPr>
                <w:rFonts w:ascii="Arial" w:hAnsi="Arial"/>
                <w:b w:val="0"/>
                <w:sz w:val="20"/>
              </w:rPr>
              <w:t>Never 'high' — reserved for catalog data</w:t>
            </w:r>
          </w:p>
        </w:tc>
      </w:tr>
      <w:tr>
        <w:tc>
          <w:tcPr>
            <w:tcW w:type="dxa" w:w="3120"/>
            <w:shd w:fill="F7F9FB" w:val="clear"/>
          </w:tcPr>
          <w:p>
            <w:pPr>
              <w:spacing w:after="40"/>
            </w:pPr>
            <w:r>
              <w:rPr>
                <w:rFonts w:ascii="Courier New" w:hAnsi="Courier New"/>
                <w:b w:val="0"/>
                <w:color w:val="555555"/>
                <w:sz w:val="20"/>
              </w:rPr>
              <w:t>basisQuality</w:t>
            </w:r>
          </w:p>
        </w:tc>
        <w:tc>
          <w:tcPr>
            <w:tcW w:type="dxa" w:w="3120"/>
            <w:shd w:fill="F7F9FB" w:val="clear"/>
          </w:tcPr>
          <w:p>
            <w:pPr>
              <w:spacing w:after="40"/>
            </w:pPr>
            <w:r>
              <w:rPr>
                <w:rFonts w:ascii="Courier New" w:hAnsi="Courier New"/>
                <w:b w:val="0"/>
                <w:color w:val="555555"/>
                <w:sz w:val="18"/>
              </w:rPr>
              <w:t>see §4</w:t>
            </w:r>
          </w:p>
        </w:tc>
        <w:tc>
          <w:tcPr>
            <w:tcW w:type="dxa" w:w="3120"/>
            <w:shd w:fill="F7F9FB" w:val="clear"/>
          </w:tcPr>
          <w:p>
            <w:pPr>
              <w:spacing w:after="40"/>
            </w:pPr>
            <w:r>
              <w:rPr>
                <w:rFonts w:ascii="Arial" w:hAnsi="Arial"/>
                <w:b w:val="0"/>
                <w:sz w:val="20"/>
              </w:rPr>
              <w:t>Granularity of the model’s knowledge</w:t>
            </w:r>
          </w:p>
        </w:tc>
      </w:tr>
      <w:tr>
        <w:tc>
          <w:tcPr>
            <w:tcW w:type="dxa" w:w="3120"/>
          </w:tcPr>
          <w:p>
            <w:pPr>
              <w:spacing w:after="40"/>
            </w:pPr>
            <w:r>
              <w:rPr>
                <w:rFonts w:ascii="Courier New" w:hAnsi="Courier New"/>
                <w:b w:val="0"/>
                <w:color w:val="555555"/>
                <w:sz w:val="20"/>
              </w:rPr>
              <w:t>reasoning</w:t>
            </w:r>
          </w:p>
        </w:tc>
        <w:tc>
          <w:tcPr>
            <w:tcW w:type="dxa" w:w="3120"/>
          </w:tcPr>
          <w:p>
            <w:pPr>
              <w:spacing w:after="40"/>
            </w:pPr>
            <w:r>
              <w:rPr>
                <w:rFonts w:ascii="Courier New" w:hAnsi="Courier New"/>
                <w:b w:val="0"/>
                <w:color w:val="555555"/>
                <w:sz w:val="18"/>
              </w:rPr>
              <w:t>string</w:t>
            </w:r>
          </w:p>
        </w:tc>
        <w:tc>
          <w:tcPr>
            <w:tcW w:type="dxa" w:w="3120"/>
          </w:tcPr>
          <w:p>
            <w:pPr>
              <w:spacing w:after="40"/>
            </w:pPr>
            <w:r>
              <w:rPr>
                <w:rFonts w:ascii="Arial" w:hAnsi="Arial"/>
                <w:b w:val="0"/>
                <w:sz w:val="20"/>
              </w:rPr>
              <w:t>1–2 sentence justification, shown in Sources</w:t>
            </w:r>
          </w:p>
        </w:tc>
      </w:tr>
      <w:tr>
        <w:tc>
          <w:tcPr>
            <w:tcW w:type="dxa" w:w="3120"/>
            <w:shd w:fill="F7F9FB" w:val="clear"/>
          </w:tcPr>
          <w:p>
            <w:pPr>
              <w:spacing w:after="40"/>
            </w:pPr>
            <w:r>
              <w:rPr>
                <w:rFonts w:ascii="Courier New" w:hAnsi="Courier New"/>
                <w:b w:val="0"/>
                <w:color w:val="555555"/>
                <w:sz w:val="20"/>
              </w:rPr>
              <w:t>architecture</w:t>
            </w:r>
          </w:p>
        </w:tc>
        <w:tc>
          <w:tcPr>
            <w:tcW w:type="dxa" w:w="3120"/>
            <w:shd w:fill="F7F9FB" w:val="clear"/>
          </w:tcPr>
          <w:p>
            <w:pPr>
              <w:spacing w:after="40"/>
            </w:pPr>
            <w:r>
              <w:rPr>
                <w:rFonts w:ascii="Courier New" w:hAnsi="Courier New"/>
                <w:b w:val="0"/>
                <w:color w:val="555555"/>
                <w:sz w:val="18"/>
              </w:rPr>
              <w:t>string?</w:t>
            </w:r>
          </w:p>
        </w:tc>
        <w:tc>
          <w:tcPr>
            <w:tcW w:type="dxa" w:w="3120"/>
            <w:shd w:fill="F7F9FB" w:val="clear"/>
          </w:tcPr>
          <w:p>
            <w:pPr>
              <w:spacing w:after="40"/>
            </w:pPr>
            <w:r>
              <w:rPr>
                <w:rFonts w:ascii="Arial" w:hAnsi="Arial"/>
                <w:b w:val="0"/>
                <w:sz w:val="20"/>
              </w:rPr>
              <w:t>E.g. 'ESS ES9038PRO delta-sigma'</w:t>
            </w:r>
          </w:p>
        </w:tc>
      </w:tr>
      <w:tr>
        <w:tc>
          <w:tcPr>
            <w:tcW w:type="dxa" w:w="3120"/>
          </w:tcPr>
          <w:p>
            <w:pPr>
              <w:spacing w:after="40"/>
            </w:pPr>
            <w:r>
              <w:rPr>
                <w:rFonts w:ascii="Courier New" w:hAnsi="Courier New"/>
                <w:b w:val="0"/>
                <w:color w:val="555555"/>
                <w:sz w:val="20"/>
              </w:rPr>
              <w:t>knownTraits</w:t>
            </w:r>
          </w:p>
        </w:tc>
        <w:tc>
          <w:tcPr>
            <w:tcW w:type="dxa" w:w="3120"/>
          </w:tcPr>
          <w:p>
            <w:pPr>
              <w:spacing w:after="40"/>
            </w:pPr>
            <w:r>
              <w:rPr>
                <w:rFonts w:ascii="Courier New" w:hAnsi="Courier New"/>
                <w:b w:val="0"/>
                <w:color w:val="555555"/>
                <w:sz w:val="18"/>
              </w:rPr>
              <w:t>string[]?</w:t>
            </w:r>
          </w:p>
        </w:tc>
        <w:tc>
          <w:tcPr>
            <w:tcW w:type="dxa" w:w="3120"/>
          </w:tcPr>
          <w:p>
            <w:pPr>
              <w:spacing w:after="40"/>
            </w:pPr>
            <w:r>
              <w:rPr>
                <w:rFonts w:ascii="Arial" w:hAnsi="Arial"/>
                <w:b w:val="0"/>
                <w:sz w:val="20"/>
              </w:rPr>
              <w:t>E.g. ['precise', 'lean tonal body']</w:t>
            </w:r>
          </w:p>
        </w:tc>
      </w:tr>
      <w:tr>
        <w:tc>
          <w:tcPr>
            <w:tcW w:type="dxa" w:w="3120"/>
          </w:tcPr>
          <w:p/>
        </w:tc>
        <w:tc>
          <w:tcPr>
            <w:tcW w:type="dxa" w:w="3120"/>
          </w:tcPr>
          <w:p/>
        </w:tc>
        <w:tc>
          <w:tcPr>
            <w:tcW w:type="dxa" w:w="3120"/>
          </w:tcPr>
          <w:p/>
        </w:tc>
      </w:tr>
    </w:tbl>
    <w:p>
      <w:r>
        <w:rPr>
          <w:rFonts w:ascii="Arial" w:hAnsi="Arial"/>
          <w:sz w:val="22"/>
        </w:rPr>
      </w:r>
    </w:p>
    <w:p>
      <w:r>
        <w:rPr>
          <w:rFonts w:ascii="Arial" w:hAnsi="Arial"/>
          <w:i/>
          <w:sz w:val="22"/>
        </w:rPr>
        <w:t>The confidence field is structurally capped at ‘medium’. Only hand-authored catalog data earns ‘high’ confidence. This is a deliberate trust hierarchy.</w:t>
      </w:r>
    </w:p>
    <w:p>
      <w:pPr>
        <w:pStyle w:val="Heading1"/>
      </w:pPr>
      <w:r>
        <w:t>4. Basis Quality</w:t>
      </w:r>
    </w:p>
    <w:p>
      <w:r>
        <w:rPr>
          <w:rFonts w:ascii="Arial" w:hAnsi="Arial"/>
          <w:sz w:val="22"/>
        </w:rPr>
        <w:t>The basisQuality field indicates the granularity of the model’s knowledge source. This is distinct from confidence (which reflects certainty) — basisQuality reflects specificity.</w:t>
      </w:r>
    </w:p>
    <w:p>
      <w:pPr>
        <w:pStyle w:val="ListBullet"/>
      </w:pPr>
      <w:r>
        <w:rPr>
          <w:rFonts w:ascii="Arial" w:hAnsi="Arial"/>
          <w:b/>
          <w:sz w:val="22"/>
        </w:rPr>
        <w:t>product-specific</w:t>
      </w:r>
      <w:r>
        <w:rPr>
          <w:rFonts w:ascii="Arial" w:hAnsi="Arial"/>
          <w:sz w:val="22"/>
        </w:rPr>
        <w:t xml:space="preserve"> — The model has training data about this exact product (reviews, measurements, community discussion). Example: “Topping D90 — widely reviewed AKM-based DAC with known measurement profile.”</w:t>
      </w:r>
    </w:p>
    <w:p>
      <w:pPr>
        <w:pStyle w:val="ListBullet"/>
      </w:pPr>
      <w:r>
        <w:rPr>
          <w:rFonts w:ascii="Arial" w:hAnsi="Arial"/>
          <w:b/>
          <w:sz w:val="22"/>
        </w:rPr>
        <w:t>brand-family</w:t>
      </w:r>
      <w:r>
        <w:rPr>
          <w:rFonts w:ascii="Arial" w:hAnsi="Arial"/>
          <w:sz w:val="22"/>
        </w:rPr>
        <w:t xml:space="preserve"> — The model knows the brand’s design philosophy and the product line, but not this specific model. Example: “Denafrips Venus — inferred from Denafrips R-2R house voice and product-line positioning between Pontus and Terminator.”</w:t>
      </w:r>
    </w:p>
    <w:p>
      <w:pPr>
        <w:pStyle w:val="ListBullet"/>
      </w:pPr>
      <w:r>
        <w:rPr>
          <w:rFonts w:ascii="Arial" w:hAnsi="Arial"/>
          <w:b/>
          <w:sz w:val="22"/>
        </w:rPr>
        <w:t>architecture-level</w:t>
      </w:r>
      <w:r>
        <w:rPr>
          <w:rFonts w:ascii="Arial" w:hAnsi="Arial"/>
          <w:sz w:val="22"/>
        </w:rPr>
        <w:t xml:space="preserve"> — The model can only reason from the product’s architecture or chipset. Example: “Unknown brand X DAC using ESS ES9038PRO — inferred from typical ESS Sabre implementation characteristics.”</w:t>
      </w:r>
    </w:p>
    <w:p>
      <w:r>
        <w:rPr>
          <w:rFonts w:ascii="Arial" w:hAnsi="Arial"/>
          <w:sz w:val="22"/>
        </w:rPr>
        <w:t>Downstream rendering uses basisQuality to adjust the transparency note shown to the reader. A product-specific inference gets a lighter qualifier than an architecture-level one.</w:t>
      </w:r>
    </w:p>
    <w:p>
      <w:pPr>
        <w:pStyle w:val="Heading1"/>
      </w:pPr>
      <w:r>
        <w:t>5. Confidence Model</w:t>
      </w:r>
    </w:p>
    <w:p>
      <w:r>
        <w:rPr>
          <w:rFonts w:ascii="Arial" w:hAnsi="Arial"/>
          <w:sz w:val="22"/>
        </w:rPr>
        <w:t>The system maintains a unified confidence hierarchy across all characterisation sources. Every component in the assessment carries both a source tag and a confidence level.</w:t>
      </w:r>
    </w:p>
    <w:tbl>
      <w:tblPr>
        <w:tblW w:type="auto" w:w="0"/>
        <w:jc w:val="left"/>
        <w:tblLook w:firstColumn="1" w:firstRow="1" w:lastColumn="0" w:lastRow="0" w:noHBand="0" w:noVBand="1" w:val="04A0"/>
      </w:tblPr>
      <w:tblGrid>
        <w:gridCol w:w="2340"/>
        <w:gridCol w:w="2340"/>
        <w:gridCol w:w="2340"/>
        <w:gridCol w:w="2340"/>
      </w:tblGrid>
      <w:tr>
        <w:tc>
          <w:tcPr>
            <w:tcW w:type="dxa" w:w="2340"/>
            <w:shd w:fill="E8EEF2" w:val="clear"/>
          </w:tcPr>
          <w:p>
            <w:pPr>
              <w:spacing w:after="40"/>
            </w:pPr>
            <w:r>
              <w:rPr>
                <w:rFonts w:ascii="Arial" w:hAnsi="Arial"/>
                <w:b/>
                <w:sz w:val="20"/>
              </w:rPr>
              <w:t>Tier</w:t>
            </w:r>
          </w:p>
        </w:tc>
        <w:tc>
          <w:tcPr>
            <w:tcW w:type="dxa" w:w="2340"/>
            <w:shd w:fill="E8EEF2" w:val="clear"/>
          </w:tcPr>
          <w:p>
            <w:pPr>
              <w:spacing w:after="40"/>
            </w:pPr>
            <w:r>
              <w:rPr>
                <w:rFonts w:ascii="Arial" w:hAnsi="Arial"/>
                <w:b/>
                <w:sz w:val="20"/>
              </w:rPr>
              <w:t>Source</w:t>
            </w:r>
          </w:p>
        </w:tc>
        <w:tc>
          <w:tcPr>
            <w:tcW w:type="dxa" w:w="2340"/>
            <w:shd w:fill="E8EEF2" w:val="clear"/>
          </w:tcPr>
          <w:p>
            <w:pPr>
              <w:spacing w:after="40"/>
            </w:pPr>
            <w:r>
              <w:rPr>
                <w:rFonts w:ascii="Arial" w:hAnsi="Arial"/>
                <w:b/>
                <w:sz w:val="20"/>
              </w:rPr>
              <w:t>Confidence</w:t>
            </w:r>
          </w:p>
        </w:tc>
        <w:tc>
          <w:tcPr>
            <w:tcW w:type="dxa" w:w="2340"/>
            <w:shd w:fill="E8EEF2" w:val="clear"/>
          </w:tcPr>
          <w:p>
            <w:pPr>
              <w:spacing w:after="40"/>
            </w:pPr>
            <w:r>
              <w:rPr>
                <w:rFonts w:ascii="Arial" w:hAnsi="Arial"/>
                <w:b/>
                <w:sz w:val="20"/>
              </w:rPr>
              <w:t>Rendering</w:t>
            </w:r>
          </w:p>
        </w:tc>
      </w:tr>
      <w:tr>
        <w:tc>
          <w:tcPr>
            <w:tcW w:type="dxa" w:w="2340"/>
          </w:tcPr>
          <w:p>
            <w:pPr>
              <w:spacing w:after="40"/>
            </w:pPr>
            <w:r>
              <w:rPr>
                <w:rFonts w:ascii="Arial" w:hAnsi="Arial"/>
                <w:b w:val="0"/>
                <w:sz w:val="20"/>
              </w:rPr>
              <w:t>Catalog-backed</w:t>
            </w:r>
          </w:p>
        </w:tc>
        <w:tc>
          <w:tcPr>
            <w:tcW w:type="dxa" w:w="2340"/>
          </w:tcPr>
          <w:p>
            <w:pPr>
              <w:spacing w:after="40"/>
            </w:pPr>
            <w:r>
              <w:rPr>
                <w:rFonts w:ascii="Courier New" w:hAnsi="Courier New"/>
                <w:b w:val="0"/>
                <w:color w:val="555555"/>
                <w:sz w:val="20"/>
              </w:rPr>
              <w:t>product</w:t>
            </w:r>
          </w:p>
        </w:tc>
        <w:tc>
          <w:tcPr>
            <w:tcW w:type="dxa" w:w="2340"/>
          </w:tcPr>
          <w:p>
            <w:pPr>
              <w:spacing w:after="40"/>
            </w:pPr>
            <w:r>
              <w:rPr>
                <w:rFonts w:ascii="Arial" w:hAnsi="Arial"/>
                <w:b w:val="0"/>
                <w:sz w:val="20"/>
              </w:rPr>
              <w:t>high</w:t>
            </w:r>
          </w:p>
        </w:tc>
        <w:tc>
          <w:tcPr>
            <w:tcW w:type="dxa" w:w="2340"/>
          </w:tcPr>
          <w:p>
            <w:pPr>
              <w:spacing w:after="40"/>
            </w:pPr>
            <w:r>
              <w:rPr>
                <w:rFonts w:ascii="Arial" w:hAnsi="Arial"/>
                <w:b w:val="0"/>
                <w:sz w:val="20"/>
              </w:rPr>
              <w:t>No marker. Full trust.</w:t>
            </w:r>
          </w:p>
        </w:tc>
      </w:tr>
      <w:tr>
        <w:tc>
          <w:tcPr>
            <w:tcW w:type="dxa" w:w="2340"/>
            <w:shd w:fill="F7F9FB" w:val="clear"/>
          </w:tcPr>
          <w:p>
            <w:pPr>
              <w:spacing w:after="40"/>
            </w:pPr>
            <w:r>
              <w:rPr>
                <w:rFonts w:ascii="Arial" w:hAnsi="Arial"/>
                <w:b w:val="0"/>
                <w:sz w:val="20"/>
              </w:rPr>
              <w:t>Brand-inferred</w:t>
            </w:r>
          </w:p>
        </w:tc>
        <w:tc>
          <w:tcPr>
            <w:tcW w:type="dxa" w:w="2340"/>
            <w:shd w:fill="F7F9FB" w:val="clear"/>
          </w:tcPr>
          <w:p>
            <w:pPr>
              <w:spacing w:after="40"/>
            </w:pPr>
            <w:r>
              <w:rPr>
                <w:rFonts w:ascii="Courier New" w:hAnsi="Courier New"/>
                <w:b w:val="0"/>
                <w:color w:val="555555"/>
                <w:sz w:val="20"/>
              </w:rPr>
              <w:t>brand</w:t>
            </w:r>
          </w:p>
        </w:tc>
        <w:tc>
          <w:tcPr>
            <w:tcW w:type="dxa" w:w="2340"/>
            <w:shd w:fill="F7F9FB" w:val="clear"/>
          </w:tcPr>
          <w:p>
            <w:pPr>
              <w:spacing w:after="40"/>
            </w:pPr>
            <w:r>
              <w:rPr>
                <w:rFonts w:ascii="Arial" w:hAnsi="Arial"/>
                <w:b w:val="0"/>
                <w:sz w:val="20"/>
              </w:rPr>
              <w:t>medium</w:t>
            </w:r>
          </w:p>
        </w:tc>
        <w:tc>
          <w:tcPr>
            <w:tcW w:type="dxa" w:w="2340"/>
            <w:shd w:fill="F7F9FB" w:val="clear"/>
          </w:tcPr>
          <w:p>
            <w:pPr>
              <w:spacing w:after="40"/>
            </w:pPr>
            <w:r>
              <w:rPr>
                <w:rFonts w:ascii="Arial" w:hAnsi="Arial"/>
                <w:b w:val="0"/>
                <w:sz w:val="20"/>
              </w:rPr>
              <w:t>Light marker: “Brand-level data.”</w:t>
            </w:r>
          </w:p>
        </w:tc>
      </w:tr>
      <w:tr>
        <w:tc>
          <w:tcPr>
            <w:tcW w:type="dxa" w:w="2340"/>
          </w:tcPr>
          <w:p>
            <w:pPr>
              <w:spacing w:after="40"/>
            </w:pPr>
            <w:r>
              <w:rPr>
                <w:rFonts w:ascii="Arial" w:hAnsi="Arial"/>
                <w:b w:val="0"/>
                <w:sz w:val="20"/>
              </w:rPr>
              <w:t>LLM: product-specific</w:t>
            </w:r>
          </w:p>
        </w:tc>
        <w:tc>
          <w:tcPr>
            <w:tcW w:type="dxa" w:w="2340"/>
          </w:tcPr>
          <w:p>
            <w:pPr>
              <w:spacing w:after="40"/>
            </w:pPr>
            <w:r>
              <w:rPr>
                <w:rFonts w:ascii="Courier New" w:hAnsi="Courier New"/>
                <w:b w:val="0"/>
                <w:color w:val="555555"/>
                <w:sz w:val="20"/>
              </w:rPr>
              <w:t>llm</w:t>
            </w:r>
          </w:p>
        </w:tc>
        <w:tc>
          <w:tcPr>
            <w:tcW w:type="dxa" w:w="2340"/>
          </w:tcPr>
          <w:p>
            <w:pPr>
              <w:spacing w:after="40"/>
            </w:pPr>
            <w:r>
              <w:rPr>
                <w:rFonts w:ascii="Arial" w:hAnsi="Arial"/>
                <w:b w:val="0"/>
                <w:sz w:val="20"/>
              </w:rPr>
              <w:t>medium</w:t>
            </w:r>
          </w:p>
        </w:tc>
        <w:tc>
          <w:tcPr>
            <w:tcW w:type="dxa" w:w="2340"/>
          </w:tcPr>
          <w:p>
            <w:pPr>
              <w:spacing w:after="40"/>
            </w:pPr>
            <w:r>
              <w:rPr>
                <w:rFonts w:ascii="Arial" w:hAnsi="Arial"/>
                <w:b w:val="0"/>
                <w:sz w:val="20"/>
              </w:rPr>
              <w:t>Note: “LLM-assisted (product-specific).”</w:t>
            </w:r>
          </w:p>
        </w:tc>
      </w:tr>
      <w:tr>
        <w:tc>
          <w:tcPr>
            <w:tcW w:type="dxa" w:w="2340"/>
            <w:shd w:fill="F7F9FB" w:val="clear"/>
          </w:tcPr>
          <w:p>
            <w:pPr>
              <w:spacing w:after="40"/>
            </w:pPr>
            <w:r>
              <w:rPr>
                <w:rFonts w:ascii="Arial" w:hAnsi="Arial"/>
                <w:b w:val="0"/>
                <w:sz w:val="20"/>
              </w:rPr>
              <w:t>LLM: brand-family</w:t>
            </w:r>
          </w:p>
        </w:tc>
        <w:tc>
          <w:tcPr>
            <w:tcW w:type="dxa" w:w="2340"/>
            <w:shd w:fill="F7F9FB" w:val="clear"/>
          </w:tcPr>
          <w:p>
            <w:pPr>
              <w:spacing w:after="40"/>
            </w:pPr>
            <w:r>
              <w:rPr>
                <w:rFonts w:ascii="Courier New" w:hAnsi="Courier New"/>
                <w:b w:val="0"/>
                <w:color w:val="555555"/>
                <w:sz w:val="20"/>
              </w:rPr>
              <w:t>llm</w:t>
            </w:r>
          </w:p>
        </w:tc>
        <w:tc>
          <w:tcPr>
            <w:tcW w:type="dxa" w:w="2340"/>
            <w:shd w:fill="F7F9FB" w:val="clear"/>
          </w:tcPr>
          <w:p>
            <w:pPr>
              <w:spacing w:after="40"/>
            </w:pPr>
            <w:r>
              <w:rPr>
                <w:rFonts w:ascii="Arial" w:hAnsi="Arial"/>
                <w:b w:val="0"/>
                <w:sz w:val="20"/>
              </w:rPr>
              <w:t>low–medium</w:t>
            </w:r>
          </w:p>
        </w:tc>
        <w:tc>
          <w:tcPr>
            <w:tcW w:type="dxa" w:w="2340"/>
            <w:shd w:fill="F7F9FB" w:val="clear"/>
          </w:tcPr>
          <w:p>
            <w:pPr>
              <w:spacing w:after="40"/>
            </w:pPr>
            <w:r>
              <w:rPr>
                <w:rFonts w:ascii="Arial" w:hAnsi="Arial"/>
                <w:b w:val="0"/>
                <w:sz w:val="20"/>
              </w:rPr>
              <w:t>Note: “LLM-assisted (brand-family).”</w:t>
            </w:r>
          </w:p>
        </w:tc>
      </w:tr>
      <w:tr>
        <w:tc>
          <w:tcPr>
            <w:tcW w:type="dxa" w:w="2340"/>
          </w:tcPr>
          <w:p>
            <w:pPr>
              <w:spacing w:after="40"/>
            </w:pPr>
            <w:r>
              <w:rPr>
                <w:rFonts w:ascii="Arial" w:hAnsi="Arial"/>
                <w:b w:val="0"/>
                <w:sz w:val="20"/>
              </w:rPr>
              <w:t>LLM: architecture</w:t>
            </w:r>
          </w:p>
        </w:tc>
        <w:tc>
          <w:tcPr>
            <w:tcW w:type="dxa" w:w="2340"/>
          </w:tcPr>
          <w:p>
            <w:pPr>
              <w:spacing w:after="40"/>
            </w:pPr>
            <w:r>
              <w:rPr>
                <w:rFonts w:ascii="Courier New" w:hAnsi="Courier New"/>
                <w:b w:val="0"/>
                <w:color w:val="555555"/>
                <w:sz w:val="20"/>
              </w:rPr>
              <w:t>llm</w:t>
            </w:r>
          </w:p>
        </w:tc>
        <w:tc>
          <w:tcPr>
            <w:tcW w:type="dxa" w:w="2340"/>
          </w:tcPr>
          <w:p>
            <w:pPr>
              <w:spacing w:after="40"/>
            </w:pPr>
            <w:r>
              <w:rPr>
                <w:rFonts w:ascii="Arial" w:hAnsi="Arial"/>
                <w:b w:val="0"/>
                <w:sz w:val="20"/>
              </w:rPr>
              <w:t>low</w:t>
            </w:r>
          </w:p>
        </w:tc>
        <w:tc>
          <w:tcPr>
            <w:tcW w:type="dxa" w:w="2340"/>
          </w:tcPr>
          <w:p>
            <w:pPr>
              <w:spacing w:after="40"/>
            </w:pPr>
            <w:r>
              <w:rPr>
                <w:rFonts w:ascii="Arial" w:hAnsi="Arial"/>
                <w:b w:val="0"/>
                <w:sz w:val="20"/>
              </w:rPr>
              <w:t>Note: “LLM-assisted (architecture-level).”</w:t>
            </w:r>
          </w:p>
        </w:tc>
      </w:tr>
      <w:tr>
        <w:tc>
          <w:tcPr>
            <w:tcW w:type="dxa" w:w="2340"/>
            <w:shd w:fill="F7F9FB" w:val="clear"/>
          </w:tcPr>
          <w:p>
            <w:pPr>
              <w:spacing w:after="40"/>
            </w:pPr>
            <w:r>
              <w:rPr>
                <w:rFonts w:ascii="Arial" w:hAnsi="Arial"/>
                <w:b w:val="0"/>
                <w:sz w:val="20"/>
              </w:rPr>
              <w:t>Unknown</w:t>
            </w:r>
          </w:p>
        </w:tc>
        <w:tc>
          <w:tcPr>
            <w:tcW w:type="dxa" w:w="2340"/>
            <w:shd w:fill="F7F9FB" w:val="clear"/>
          </w:tcPr>
          <w:p>
            <w:pPr>
              <w:spacing w:after="40"/>
            </w:pPr>
            <w:r>
              <w:rPr>
                <w:rFonts w:ascii="Courier New" w:hAnsi="Courier New"/>
                <w:b w:val="0"/>
                <w:color w:val="555555"/>
                <w:sz w:val="20"/>
              </w:rPr>
              <w:t>inferred</w:t>
            </w:r>
          </w:p>
        </w:tc>
        <w:tc>
          <w:tcPr>
            <w:tcW w:type="dxa" w:w="2340"/>
            <w:shd w:fill="F7F9FB" w:val="clear"/>
          </w:tcPr>
          <w:p>
            <w:pPr>
              <w:spacing w:after="40"/>
            </w:pPr>
            <w:r>
              <w:rPr>
                <w:rFonts w:ascii="Arial" w:hAnsi="Arial"/>
                <w:b w:val="0"/>
                <w:sz w:val="20"/>
              </w:rPr>
              <w:t>none</w:t>
            </w:r>
          </w:p>
        </w:tc>
        <w:tc>
          <w:tcPr>
            <w:tcW w:type="dxa" w:w="2340"/>
            <w:shd w:fill="F7F9FB" w:val="clear"/>
          </w:tcPr>
          <w:p>
            <w:pPr>
              <w:spacing w:after="40"/>
            </w:pPr>
            <w:r>
              <w:rPr>
                <w:rFonts w:ascii="Arial" w:hAnsi="Arial"/>
                <w:b w:val="0"/>
                <w:sz w:val="20"/>
              </w:rPr>
              <w:t>Explicit: “Not in our reference data.”</w:t>
            </w:r>
          </w:p>
        </w:tc>
      </w:tr>
    </w:tbl>
    <w:p>
      <w:r>
        <w:rPr>
          <w:rFonts w:ascii="Arial" w:hAnsi="Arial"/>
          <w:sz w:val="22"/>
        </w:rPr>
      </w:r>
    </w:p>
    <w:p>
      <w:r>
        <w:rPr>
          <w:rFonts w:ascii="Arial" w:hAnsi="Arial"/>
          <w:sz w:val="22"/>
        </w:rPr>
        <w:t>Confidence affects two things: the transparency note shown in the component assessment block, and the weight given to the component in system-level synthesis (stacked trait detection, bottleneck ranking). Low-confidence components should contribute less to system-level conclusions.</w:t>
      </w:r>
    </w:p>
    <w:p>
      <w:pPr>
        <w:pStyle w:val="Heading1"/>
      </w:pPr>
      <w:r>
        <w:t>6. Architecture: Pre-Pass Enrichment</w:t>
      </w:r>
    </w:p>
    <w:p>
      <w:r>
        <w:rPr>
          <w:rFonts w:ascii="Arial" w:hAnsi="Arial"/>
          <w:b/>
          <w:sz w:val="22"/>
        </w:rPr>
        <w:t xml:space="preserve">Recommendation: </w:t>
      </w:r>
      <w:r>
        <w:rPr>
          <w:rFonts w:ascii="Arial" w:hAnsi="Arial"/>
          <w:sz w:val="22"/>
        </w:rPr>
        <w:t>implement the LLM layer as a pre-pass enrichment step that runs before the deterministic pipeline, not inside it.</w:t>
      </w:r>
    </w:p>
    <w:p>
      <w:r>
        <w:rPr>
          <w:rFonts w:ascii="Arial" w:hAnsi="Arial"/>
          <w:sz w:val="22"/>
        </w:rPr>
        <w:t>The current assessment pipeline is synchronous and deterministic. Mixing async LLM calls into the builder functions would require converting the entire chain to async, increase complexity, and make reasoning about output harder to trace.</w:t>
      </w:r>
    </w:p>
    <w:p>
      <w:r>
        <w:rPr>
          <w:rFonts w:ascii="Arial" w:hAnsi="Arial"/>
          <w:sz w:val="22"/>
        </w:rPr>
        <w:t>Instead, the flow becomes:</w:t>
      </w:r>
    </w:p>
    <w:p>
      <w:pPr>
        <w:pStyle w:val="ListBullet"/>
      </w:pPr>
      <w:r>
        <w:rPr>
          <w:rFonts w:ascii="Arial" w:hAnsi="Arial"/>
          <w:b/>
          <w:sz w:val="22"/>
        </w:rPr>
        <w:t>Phase 1 — Entity recognition</w:t>
      </w:r>
      <w:r>
        <w:rPr>
          <w:rFonts w:ascii="Arial" w:hAnsi="Arial"/>
          <w:sz w:val="22"/>
        </w:rPr>
        <w:t xml:space="preserve"> (unchanged). Extract brands, products, and subject matches from user input.</w:t>
      </w:r>
    </w:p>
    <w:p>
      <w:pPr>
        <w:pStyle w:val="ListBullet"/>
      </w:pPr>
      <w:r>
        <w:rPr>
          <w:rFonts w:ascii="Arial" w:hAnsi="Arial"/>
          <w:b/>
          <w:sz w:val="22"/>
        </w:rPr>
        <w:t>Phase 2 — Component assembly</w:t>
      </w:r>
      <w:r>
        <w:rPr>
          <w:rFonts w:ascii="Arial" w:hAnsi="Arial"/>
          <w:sz w:val="22"/>
        </w:rPr>
        <w:t xml:space="preserve"> (unchanged). Build SystemComponent objects from catalog lookups, brand profiles, and proximity matching.</w:t>
      </w:r>
    </w:p>
    <w:p>
      <w:pPr>
        <w:pStyle w:val="ListBullet"/>
      </w:pPr>
      <w:r>
        <w:rPr>
          <w:rFonts w:ascii="Arial" w:hAnsi="Arial"/>
          <w:b/>
          <w:sz w:val="22"/>
        </w:rPr>
        <w:t>Phase 3 — Confidence audit</w:t>
      </w:r>
      <w:r>
        <w:rPr>
          <w:rFonts w:ascii="Arial" w:hAnsi="Arial"/>
          <w:sz w:val="22"/>
        </w:rPr>
        <w:t xml:space="preserve"> (new). Walk the component list and identify any component where deterministic confidence is insufficient. Collect these into a batch.</w:t>
      </w:r>
    </w:p>
    <w:p>
      <w:pPr>
        <w:pStyle w:val="ListBullet"/>
      </w:pPr>
      <w:r>
        <w:rPr>
          <w:rFonts w:ascii="Arial" w:hAnsi="Arial"/>
          <w:b/>
          <w:sz w:val="22"/>
        </w:rPr>
        <w:t>Phase 4 — LLM enrichment</w:t>
      </w:r>
      <w:r>
        <w:rPr>
          <w:rFonts w:ascii="Arial" w:hAnsi="Arial"/>
          <w:sz w:val="22"/>
        </w:rPr>
        <w:t xml:space="preserve"> (new). For each insufficient-confidence component, make a structured LLM call. Inject the returned axis data and metadata into the component object. Cache the result.</w:t>
      </w:r>
    </w:p>
    <w:p>
      <w:pPr>
        <w:pStyle w:val="ListBullet"/>
      </w:pPr>
      <w:r>
        <w:rPr>
          <w:rFonts w:ascii="Arial" w:hAnsi="Arial"/>
          <w:b/>
          <w:sz w:val="22"/>
        </w:rPr>
        <w:t>Phase 5 — Deterministic pipeline</w:t>
      </w:r>
      <w:r>
        <w:rPr>
          <w:rFonts w:ascii="Arial" w:hAnsi="Arial"/>
          <w:sz w:val="22"/>
        </w:rPr>
        <w:t xml:space="preserve"> (unchanged). Axis classification, system synthesis, stacked traits, bottleneck detection, component assessments, upgrade paths, reconciliation. All rule-based, all deterministic. The LLM-enriched components are now indistinguishable in structure from catalog-backed ones — only the source tag differs.</w:t>
      </w:r>
    </w:p>
    <w:p>
      <w:r>
        <w:rPr>
          <w:rFonts w:ascii="Arial" w:hAnsi="Arial"/>
          <w:sz w:val="22"/>
        </w:rPr>
        <w:t>This keeps the deterministic core untouched. The LLM layer is a pluggable enrichment step that can be disabled, mocked, or replaced without affecting the assessment logic.</w:t>
      </w:r>
    </w:p>
    <w:p>
      <w:pPr>
        <w:pStyle w:val="Heading1"/>
      </w:pPr>
      <w:r>
        <w:t>7. Caching</w:t>
      </w:r>
    </w:p>
    <w:p>
      <w:r>
        <w:rPr>
          <w:rFonts w:ascii="Arial" w:hAnsi="Arial"/>
          <w:sz w:val="22"/>
        </w:rPr>
        <w:t>LLM inference results are cached at two levels:</w:t>
      </w:r>
    </w:p>
    <w:p>
      <w:pPr>
        <w:pStyle w:val="ListBullet"/>
      </w:pPr>
      <w:r>
        <w:rPr>
          <w:rFonts w:ascii="Arial" w:hAnsi="Arial"/>
          <w:b/>
          <w:sz w:val="22"/>
        </w:rPr>
        <w:t>Session cache</w:t>
      </w:r>
      <w:r>
        <w:rPr>
          <w:rFonts w:ascii="Arial" w:hAnsi="Arial"/>
          <w:sz w:val="22"/>
        </w:rPr>
        <w:t xml:space="preserve"> — an in-memory Map keyed by normalised product name. Prevents redundant calls within a conversation.</w:t>
      </w:r>
    </w:p>
    <w:p>
      <w:pPr>
        <w:pStyle w:val="ListBullet"/>
      </w:pPr>
      <w:r>
        <w:rPr>
          <w:rFonts w:ascii="Arial" w:hAnsi="Arial"/>
          <w:b/>
          <w:sz w:val="22"/>
        </w:rPr>
        <w:t>Persistent cache</w:t>
      </w:r>
      <w:r>
        <w:rPr>
          <w:rFonts w:ascii="Arial" w:hAnsi="Arial"/>
          <w:sz w:val="22"/>
        </w:rPr>
        <w:t xml:space="preserve"> (deferred) — a lightweight store (JSON file or database table) that persists across sessions. Enables the system to accumulate knowledge over time without re-querying. Requires a cache-invalidation strategy (TTL or manual review).</w:t>
      </w:r>
    </w:p>
    <w:p>
      <w:r>
        <w:rPr>
          <w:rFonts w:ascii="Arial" w:hAnsi="Arial"/>
          <w:sz w:val="22"/>
        </w:rPr>
        <w:t>Session cache is sufficient for v1. Persistent cache can be added when the volume of LLM calls justifies it.</w:t>
      </w:r>
    </w:p>
    <w:p>
      <w:pPr>
        <w:pStyle w:val="Heading1"/>
      </w:pPr>
      <w:r>
        <w:t>8. Source Transparency</w:t>
      </w:r>
    </w:p>
    <w:p>
      <w:r>
        <w:rPr>
          <w:rFonts w:ascii="Arial" w:hAnsi="Arial"/>
          <w:sz w:val="22"/>
        </w:rPr>
        <w:t>Every LLM-inferred characterisation must be visible to the reader. This is non-negotiable — the CLAUDE.md spec requires that readers can assess how the system knows what it claims to know.</w:t>
      </w:r>
    </w:p>
    <w:p>
      <w:r>
        <w:rPr>
          <w:rFonts w:ascii="Arial" w:hAnsi="Arial"/>
          <w:sz w:val="22"/>
        </w:rPr>
        <w:t>Two rendering changes:</w:t>
      </w:r>
    </w:p>
    <w:p>
      <w:pPr>
        <w:pStyle w:val="ListBullet"/>
      </w:pPr>
      <w:r>
        <w:rPr>
          <w:rFonts w:ascii="Arial" w:hAnsi="Arial"/>
          <w:b/>
          <w:sz w:val="22"/>
        </w:rPr>
        <w:t>Component assessment block</w:t>
      </w:r>
      <w:r>
        <w:rPr>
          <w:rFonts w:ascii="Arial" w:hAnsi="Arial"/>
          <w:sz w:val="22"/>
        </w:rPr>
        <w:t xml:space="preserve"> — any component with source: ‘llm’ gets a confidence note below its heading. The note text varies by basisQuality (see §5 table).</w:t>
      </w:r>
    </w:p>
    <w:p>
      <w:pPr>
        <w:pStyle w:val="ListBullet"/>
      </w:pPr>
      <w:r>
        <w:rPr>
          <w:rFonts w:ascii="Arial" w:hAnsi="Arial"/>
          <w:b/>
          <w:sz w:val="22"/>
        </w:rPr>
        <w:t>Sources section</w:t>
      </w:r>
      <w:r>
        <w:rPr>
          <w:rFonts w:ascii="Arial" w:hAnsi="Arial"/>
          <w:sz w:val="22"/>
        </w:rPr>
        <w:t xml:space="preserve"> — the reasoning field from the LLM inference appears as a source entry: “Hegel H190 characterisation: LLM inference (product-specific) — ‘Class AB integrated amplifier known for a clean, controlled presentation with strong damping.’”</w:t>
      </w:r>
    </w:p>
    <w:p>
      <w:r>
        <w:rPr>
          <w:rFonts w:ascii="Arial" w:hAnsi="Arial"/>
          <w:sz w:val="22"/>
        </w:rPr>
        <w:t>This ensures the system never presents LLM-generated knowledge as though it were hand-authored catalog data.</w:t>
      </w:r>
    </w:p>
    <w:p>
      <w:pPr>
        <w:pStyle w:val="Heading1"/>
      </w:pPr>
      <w:r>
        <w:t>9. Cost and Latency</w:t>
      </w:r>
    </w:p>
    <w:p>
      <w:r>
        <w:rPr>
          <w:rFonts w:ascii="Arial" w:hAnsi="Arial"/>
          <w:sz w:val="22"/>
        </w:rPr>
        <w:t>Each unknown product requires one structured API call. Estimated token usage: 200–400 tokens in, 100–200 tokens out. For a typical system assessment with 1–2 unknown products, this adds approximately 0.5–1 second of latency and negligible cost. Batch requests can parallelise multiple unknowns.</w:t>
      </w:r>
    </w:p>
    <w:p>
      <w:r>
        <w:rPr>
          <w:rFonts w:ascii="Arial" w:hAnsi="Arial"/>
          <w:sz w:val="22"/>
        </w:rPr>
        <w:t>The session cache ensures repeat queries within a conversation are instant.</w:t>
      </w:r>
    </w:p>
    <w:p>
      <w:pPr>
        <w:spacing w:before="200" w:after="200"/>
        <w:pBdr>
          <w:bottom w:val="single" w:sz="4" w:space="1" w:color="CCCCCC"/>
        </w:pBdr>
      </w:pPr>
    </w:p>
    <w:p>
      <w:pPr>
        <w:pStyle w:val="Heading1"/>
      </w:pPr>
      <w:r>
        <w:t>10. Implementation Constraints</w:t>
      </w:r>
    </w:p>
    <w:p>
      <w:pPr>
        <w:pStyle w:val="ListBullet"/>
      </w:pPr>
      <w:r>
        <w:rPr>
          <w:rFonts w:ascii="Arial" w:hAnsi="Arial"/>
          <w:sz w:val="22"/>
        </w:rPr>
        <w:t>The LLM never generates prose for the advisory output. It only fills structured axis data.</w:t>
      </w:r>
    </w:p>
    <w:p>
      <w:pPr>
        <w:pStyle w:val="ListBullet"/>
      </w:pPr>
      <w:r>
        <w:rPr>
          <w:rFonts w:ascii="Arial" w:hAnsi="Arial"/>
          <w:sz w:val="22"/>
        </w:rPr>
        <w:t>Confidence is capped at ‘medium’. Catalog data retains exclusive ‘high’ trust.</w:t>
      </w:r>
    </w:p>
    <w:p>
      <w:pPr>
        <w:pStyle w:val="ListBullet"/>
      </w:pPr>
      <w:r>
        <w:rPr>
          <w:rFonts w:ascii="Arial" w:hAnsi="Arial"/>
          <w:sz w:val="22"/>
        </w:rPr>
        <w:t>The deterministic pipeline must remain functional with the LLM layer disabled.</w:t>
      </w:r>
    </w:p>
    <w:p>
      <w:pPr>
        <w:pStyle w:val="ListBullet"/>
      </w:pPr>
      <w:r>
        <w:rPr>
          <w:rFonts w:ascii="Arial" w:hAnsi="Arial"/>
          <w:sz w:val="22"/>
        </w:rPr>
        <w:t>The LLM prompt must instruct the model to return ‘neutral’ for any axis it cannot assess with reasonable confidence.</w:t>
      </w:r>
    </w:p>
    <w:p>
      <w:pPr>
        <w:pStyle w:val="ListBullet"/>
      </w:pPr>
      <w:r>
        <w:rPr>
          <w:rFonts w:ascii="Arial" w:hAnsi="Arial"/>
          <w:sz w:val="22"/>
        </w:rPr>
        <w:t>Architecture-level inferences should carry explicit caveats about implementation variance.</w:t>
      </w:r>
    </w:p>
    <w:p>
      <w:pPr>
        <w:pStyle w:val="ListBullet"/>
      </w:pPr>
      <w:r>
        <w:rPr>
          <w:rFonts w:ascii="Arial" w:hAnsi="Arial"/>
          <w:sz w:val="22"/>
        </w:rPr>
        <w:t>The pre-pass must not block on LLM failure — if the call fails, the component falls back to all-neutral axes (current behaviour).</w:t>
      </w:r>
    </w:p>
    <w:p>
      <w:pPr>
        <w:spacing w:before="200" w:after="200"/>
        <w:pBdr>
          <w:bottom w:val="single" w:sz="4" w:space="1" w:color="CCCCCC"/>
        </w:pBdr>
      </w:pPr>
    </w:p>
    <w:p>
      <w:r>
        <w:rPr>
          <w:rFonts w:ascii="Arial" w:hAnsi="Arial"/>
          <w:i/>
          <w:sz w:val="22"/>
        </w:rPr>
        <w:t>This item is deferred until the deterministic system-assessment engine is stable. The design is ready for implementation when that condition is met.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Arial" w:hAnsi="Arial"/>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80" w:after="200"/>
      <w:outlineLvl w:val="2"/>
    </w:pPr>
    <w:rPr>
      <w:rFonts w:asciiTheme="majorHAnsi" w:eastAsiaTheme="majorEastAsia" w:hAnsiTheme="majorHAnsi" w:cstheme="majorBidi" w:ascii="Arial" w:hAnsi="Arial"/>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