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发票开具与红冲规则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文档编码：RULE_INVOICE_001  |  版本：1.0  |  主题：invoice</w:t>
      </w:r>
    </w:p>
    <w:p>
      <w:pPr/>
      <w:r>
        <w:t>生效日期：2025-01-01</w:t>
      </w:r>
    </w:p>
    <w:p>
      <w:pPr/>
      <w:r>
        <w:t>1. 适用范围：本规则适用于所有涉及发票开具及红冲的售后场景，包括普通发票和增值税专用发票。适用凭证包括R-INVOICE-001和E-IV-6001。</w:t>
        <w:br/>
        <w:t>关键事实：发票金额以实际支付且未退款金额为准。</w:t>
      </w:r>
    </w:p>
    <w:p>
      <w:pPr/>
      <w:r>
        <w:t>2. 规则条款：1. 发票开具时，金额必须等于实际支付且未退款的金额。</w:t>
        <w:br/>
        <w:t>2. 若部分退款涉及已开票金额，需对原发票进行部分红冲，红冲金额等于退款金额。</w:t>
        <w:br/>
        <w:t>3. 若全额退款涉及已开票金额，需对原发票进行全额红冲。</w:t>
        <w:br/>
        <w:t>4. 普通发票红冲直接操作，增值税专用发票红冲需先提交审核材料。</w:t>
        <w:br/>
        <w:t>关键事实：退款涉及已开票金额时必须红冲。</w:t>
      </w:r>
    </w:p>
    <w:p>
      <w:pPr/>
      <w:r>
        <w:t>3. 例外条件：1. 增值税专用发票红冲时，若购买方已认证抵扣，需提供《开具红字增值税专用发票信息表》，否则无法红冲。</w:t>
        <w:br/>
        <w:t>2. 发票已跨月且未认证，需按税务机关要求处理。</w:t>
        <w:br/>
        <w:t>关键事实：增值税专用发票红冲需要额外审核材料。</w:t>
      </w:r>
    </w:p>
    <w:p>
      <w:pPr/>
      <w:r>
        <w:t>4. 优先级：本规则优先级高于通用发票处理规则，低于法律法规要求。</w:t>
      </w:r>
    </w:p>
    <w:p>
      <w:pPr/>
      <w:r>
        <w:t>5. 生效日期：自2025年1月1日起生效。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