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物流延迟判定规则 V2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文档编码：RULE_LOGISTICS_001_V2  |  版本：2.0  |  主题：logistics</w:t>
      </w:r>
    </w:p>
    <w:p>
      <w:pPr/>
      <w:r>
        <w:t>生效日期：2025-11-01</w:t>
      </w:r>
    </w:p>
    <w:p>
      <w:pPr/>
      <w:r>
        <w:t>1. 适用范围：本规则适用于所有通过企业合作承运商发出的订单，包括揽收、转运、派送全链路物流节点。相关标识符：R-LOGISTICS-001, LOGISTICS-V2。</w:t>
        <w:br/>
        <w:t>关键事实：V2按揽收、转运和派送节点分别设置观察期。揽收节点观察期为24小时，转运节点为48小时，派送节点为72小时。</w:t>
      </w:r>
    </w:p>
    <w:p>
      <w:pPr/>
      <w:r>
        <w:t>2. 规则条款：1. 每个物流节点（揽收、转运、派送）均设有独立观察期。</w:t>
        <w:br/>
        <w:t>2. 若节点在观察期内未更新状态，系统自动标记为“节点超时”。</w:t>
        <w:br/>
        <w:t>3. 节点超时后，系统向承运商发起反馈请求；若承运商在24小时内无有效反馈，则进入丢失核查流程。</w:t>
        <w:br/>
        <w:t>4. 丢失核查流程启动的条件：节点超时且承运商无反馈。相关标识符：LOGISTICS-V2。</w:t>
        <w:br/>
        <w:t>关键事实：满足节点超时和承运商无反馈才进入丢失核查。</w:t>
      </w:r>
    </w:p>
    <w:p>
      <w:pPr/>
      <w:r>
        <w:t>3. 例外条件：若承运商所在区域处于预警中的极端天气（如台风、暴雪等），则暂停时效补偿，但仍需保留节点超时标记，待预警解除后恢复判定。相关标识符：R-LOGISTICS-001。</w:t>
        <w:br/>
        <w:t>关键事实：预警中的极端天气区域暂停时效补偿。</w:t>
      </w:r>
    </w:p>
    <w:p>
      <w:pPr/>
      <w:r>
        <w:t>4. 优先级：本规则优先级为一级，高于V1版本规则。当与其他物流规则冲突时，以本规则为准。冲突规则：RULE_LOGISTICS_001_V1。</w:t>
      </w:r>
    </w:p>
    <w:p>
      <w:pPr/>
      <w:r>
        <w:t>5. 生效日期：本规则自2025年11月1日起生效，替代RULE_LOGISTICS_001_V1。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