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F4D78"/>
          <w:sz w:val="40"/>
        </w:rPr>
        <w:t>订单取消规则 V1</w:t>
      </w:r>
    </w:p>
    <w:p>
      <w:pPr>
        <w:jc w:val="center"/>
      </w:pPr>
      <w:r>
        <w:rPr>
          <w:rFonts w:ascii="PingFang SC" w:hAnsi="PingFang SC" w:eastAsia="PingFang SC"/>
          <w:b w:val="0"/>
          <w:color w:val="666666"/>
          <w:sz w:val="18"/>
        </w:rPr>
        <w:t>文档编码：RULE_ORDER_001_V1  |  版本：1.0  |  主题：order</w:t>
      </w:r>
    </w:p>
    <w:p>
      <w:pPr/>
      <w:r>
        <w:t>生效日期：2024-01-01</w:t>
      </w:r>
    </w:p>
    <w:p>
      <w:pPr/>
      <w:r>
        <w:t>1. 适用范围：本规则适用于所有通过电商平台生成且未完成发货的订单。已发货订单不得取消。</w:t>
      </w:r>
    </w:p>
    <w:p>
      <w:pPr/>
      <w:r>
        <w:t>2. 规则条款：V1允许未出库订单在支付后两小时内直接取消。订单标识R-ORDER-001及版本ORDER-V1适用。</w:t>
      </w:r>
    </w:p>
    <w:p>
      <w:pPr/>
      <w:r>
        <w:t>3. 例外条件：预售商品不适用两小时取消窗口。</w:t>
      </w:r>
    </w:p>
    <w:p>
      <w:pPr/>
      <w:r>
        <w:t>4. 规则优先级：本规则为V1版本，具有基础优先级。与后续版本冲突时，以更新版本为准。</w:t>
      </w:r>
    </w:p>
    <w:p>
      <w:pPr/>
      <w:r>
        <w:t>5. 生效日期：生效日期：2024-01-01 至 2025-06-30。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20" w:line="300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