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color w:val="1F4D78"/>
          <w:sz w:val="40"/>
        </w:rPr>
        <w:t>售后退款时限规则 V2</w:t>
      </w:r>
    </w:p>
    <w:p>
      <w:pPr>
        <w:jc w:val="center"/>
      </w:pPr>
      <w:r>
        <w:rPr>
          <w:rFonts w:ascii="PingFang SC" w:hAnsi="PingFang SC" w:eastAsia="PingFang SC"/>
          <w:b w:val="0"/>
          <w:color w:val="666666"/>
          <w:sz w:val="18"/>
        </w:rPr>
        <w:t>文档编码：RULE_REFUND_001_V2  |  版本：2.0  |  主题：refund</w:t>
      </w:r>
    </w:p>
    <w:p>
      <w:pPr/>
      <w:r>
        <w:t>生效日期：2026-01-01</w:t>
      </w:r>
    </w:p>
    <w:p>
      <w:pPr/>
      <w:r>
        <w:t>1. 适用范围：本规则适用于所有通过本平台销售的商品（特殊商品除外），包括普通商品和会员商品。涉及退款申请的处理时限。规则编码：R-REFUND-001，关联异常流程编码：E-RF-1002。</w:t>
      </w:r>
    </w:p>
    <w:p>
      <w:pPr/>
      <w:r>
        <w:t>2. 规则条款：1. 普通商品：签收后七日内可申请无理由退款（fact_key: refund_v2_window，内容：普通商品签收后七日内申请，部分会员延长至十五日）。</w:t>
        <w:br/>
        <w:t>2. 优惠券订单：按实付金额退款，优惠券处理遵循独立规则（fact_key: refund_v2_coupon_limit，内容：优惠券订单按实付金额退款且券处理遵循独立规则）。</w:t>
      </w:r>
    </w:p>
    <w:p>
      <w:pPr/>
      <w:r>
        <w:t>3. 例外条件：质量问题不受无理由退货时限限制（fact_key: refund_v2_exception，内容：质量问题不受无理由退货时限限制）。此外，根据异常流程E-RF-1002，质量问题退款无需遵循上述七/十五日时限。</w:t>
      </w:r>
    </w:p>
    <w:p>
      <w:pPr/>
      <w:r>
        <w:t>4. 规则优先级：本规则（V2.0）替代V1版本（RULE_REFUND_001_V1），并与之冲突（原V1规则作废）。当本规则与平台其他退款规则冲突时，以本规则为准，但质量问题相关条款优先适用例外条件。</w:t>
      </w:r>
    </w:p>
    <w:p>
      <w:pPr/>
      <w:r>
        <w:t>5. 生效日期：本规则自2026年1月1日起生效，无截止日期。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20" w:line="300" w:lineRule="auto"/>
    </w:pPr>
    <w:rPr>
      <w:rFonts w:ascii="PingFang SC" w:hAnsi="PingFang SC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