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F4D78"/>
          <w:sz w:val="40"/>
        </w:rPr>
        <w:t>退款失败与改道规则</w:t>
      </w:r>
    </w:p>
    <w:p>
      <w:pPr>
        <w:jc w:val="center"/>
      </w:pPr>
      <w:r>
        <w:rPr>
          <w:rFonts w:ascii="PingFang SC" w:hAnsi="PingFang SC" w:eastAsia="PingFang SC"/>
          <w:b w:val="0"/>
          <w:color w:val="666666"/>
          <w:sz w:val="18"/>
        </w:rPr>
        <w:t>文档编码：RULE_REFUND_002  |  版本：1.0  |  主题：refund</w:t>
      </w:r>
    </w:p>
    <w:p>
      <w:pPr/>
      <w:r>
        <w:t>生效日期：2025-06-01</w:t>
      </w:r>
    </w:p>
    <w:p>
      <w:pPr/>
      <w:r>
        <w:t>1. 适用范围：本规则适用于所有使用原路退款方式的订单。相关标识符：R-REFUND-002, E-RF-1002</w:t>
      </w:r>
    </w:p>
    <w:p>
      <w:pPr/>
      <w:r>
        <w:t>2. 规则条款：原路退款最多自动重试两次。当原渠道不可用时，按审核结果改为人工打款。</w:t>
        <w:br/>
        <w:t>关键事实：原渠道不可用时按审核结果改为人工打款</w:t>
      </w:r>
    </w:p>
    <w:p>
      <w:pPr/>
      <w:r>
        <w:t>3. 例外条件：若退款触发风控，则按风控冻结处理，不执行退款改道。</w:t>
      </w:r>
    </w:p>
    <w:p>
      <w:pPr/>
      <w:r>
        <w:t>4. 优先级：风控冻结优先于退款改道。</w:t>
      </w:r>
    </w:p>
    <w:p>
      <w:pPr/>
      <w:r>
        <w:t>5. 生效日期：本规则自2025年6月1日起生效。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20" w:line="300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