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CONTABILIDAD Y ASESORÍA TRIBUTARIA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Modalidad: En línea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Duración: 2 años (8 ciclos)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 Costo referencial ciclo I: $278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 Título que recibe: Tecnólogo/a Superior en Contabilidad y Asesoría Tributaria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Inicio de clases: Junio – Agosto 2026</w:t>
        <w:br w:type="textWrapping"/>
      </w:r>
      <w:r w:rsidDel="00000000" w:rsidR="00000000" w:rsidRPr="00000000">
        <w:rPr>
          <w:b w:val="1"/>
          <w:bCs w:val="1"/>
          <w:rtl w:val="0"/>
        </w:rPr>
        <w:br w:type="textWrapping"/>
        <w:t xml:space="preserve">Formas de pago: </w:t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8% de descuento por pago al contado, con tarjeta de crédito o débito. </w:t>
        <w:br w:type="textWrapping"/>
        <w:t xml:space="preserve">10% de descuento adicional si eres UTPL Alumni.</w:t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bookmarkStart w:colFirst="0" w:colLast="0" w:name="_heading=h.kqkejna9me0z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DESCRIPCION DE LA CARRERA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En esta carrera tendrás la oportunidad de formarte con herramientas contables y tecnológicas de vanguardia, aplicando normas y buenas prácticas que aseguren información financiera confiable y oportuna. Nuestro compromiso es acompañarte en tu proceso de aprendizaje para que desarrolles tus competencias profesionales y te prepares para liderar con excelencia en el ámbito económico-financiero.</w:t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PERFIL PROFESIONAL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Formamos profesionales capaces de generar información financiera confiable para la toma de decisiones con base en normas y tecnologías actuales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Interpretar y aplicar correctamente los principios contables para generar información económica-financiera precisa, confiable y oportuna, para la toma de decisiones de los entes económicos.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Aplicar con responsabilidad el marco legal vigente que deben cumplir los entes económicos, incluyendo las Normas Internacionales de Información Financiera (NIIF).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Utilizar tecnologías de la información aplicadas a la contabilidad y tributación, incluyendo softwares contables especializados y plataformas de los organismos de control.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Analizar e interpretar datos económicos y financieros, utilizando herramientas de Business Analytics y Big Data para la toma de decisiones fundamentadas de los entes económicos.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rtl w:val="0"/>
        </w:rPr>
        <w:t xml:space="preserve">MALLA CURRICULAR</w:t>
        <w:br w:type="textWrapping"/>
      </w:r>
      <w:r w:rsidDel="00000000" w:rsidR="00000000" w:rsidRPr="00000000">
        <w:rPr>
          <w:rtl w:val="0"/>
        </w:rPr>
        <w:br w:type="textWrapping"/>
        <w:t xml:space="preserve">PAO 1.1.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Contabilidad General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Competencias Humanas para el Futuro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PAO 1.2.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Tributación Nacional: Imposición Indirecta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Gestión Empresarial y Teorías de la Organización</w:t>
        <w:br w:type="textWrapping"/>
        <w:br w:type="textWrapping"/>
        <w:t xml:space="preserve">PAO 2.1.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Contabilidad Financiera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Emprendimiento e Innovación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PAO 2.2.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Tributación Nacional: Imposición Directa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Inteligencia de Negocios</w:t>
        <w:br w:type="textWrapping"/>
        <w:br w:type="textWrapping"/>
        <w:t xml:space="preserve">PAO 3.1.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Contabilidad Analítica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Gestión Financiera y Presupuestos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PAO 3.2.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Legislación Empresarial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Software aplicado a la Gestión de los Negocios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PAO 4.1.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NIIF e Incidencia Tributaria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Estadística aplicada a los Negocios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Trabajo de Integración Curricular / Examen Complexivo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PAO 4.2.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Evaluación Financiera para las Organizaciones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Gestión basada en Datos y Análisis Empresarial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Trabajo de Integración Curricular / Examen Complexivo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1"/>
          <w:bCs w:val="1"/>
          <w:rtl w:val="0"/>
        </w:rPr>
        <w:t xml:space="preserve">PRACTICAS PREPROFESIONALES</w:t>
      </w:r>
      <w:r w:rsidDel="00000000" w:rsidR="00000000" w:rsidRPr="00000000">
        <w:rPr>
          <w:rtl w:val="0"/>
        </w:rPr>
        <w:br w:type="textWrapping"/>
        <w:t xml:space="preserve">Servicio Comunitario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Laboral</w:t>
        <w:br w:type="textWrapping"/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MX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nx/WLN6qs12cadxRbJQYD5CE0Q==">CgMxLjAyDmgua3FrZWpuYTltZTB6OAByITEyWXZ4WjVIYU5NY1V4dHAwNTdaMjRtSjZwdlotaHRaSg==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