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 xml:space="preserve">MAESTRÍA EN EDUCACIÓN CON MENCIÓN EN LITERATURA INFANTIL Y JUVENIL </w:t>
      </w:r>
    </w:p>
    <w:p>
      <w:pPr>
        <w:pStyle w:val="normal1"/>
        <w:rPr/>
      </w:pPr>
      <w:r>
        <w:rPr/>
        <w:t>Duración: 1 año</w:t>
        <w:br/>
        <w:t>Modalidad: en línea</w:t>
        <w:br/>
      </w:r>
      <w:r>
        <w:rPr>
          <w:b/>
          <w:bCs/>
        </w:rPr>
        <w:t>Precio: $2490</w:t>
        <w:br/>
      </w:r>
      <w:r>
        <w:rPr/>
        <w:t>Maestría Académica</w:t>
        <w:br/>
        <w:t>Titulo a obtener: Magister en Educación con mención en Literatura Infantil y Juvenil.</w:t>
      </w:r>
    </w:p>
    <w:p>
      <w:pPr>
        <w:pStyle w:val="normal1"/>
        <w:rPr/>
      </w:pPr>
      <w:r>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Docente especializado en literatura infantil y juvenil: profesional de la enseñanza centrado en la literatura infantil y juvenil, con competencias para diseñar, implementar y evaluar propuestas educativas en los niveles inicial, primaria y secundaria.</w:t>
      </w:r>
    </w:p>
    <w:p>
      <w:pPr>
        <w:pStyle w:val="normal1"/>
        <w:rPr/>
      </w:pPr>
      <w:r>
        <w:rPr/>
        <w:t xml:space="preserve">• </w:t>
      </w:r>
      <w:r>
        <w:rPr/>
        <w:t>Asesor pedagógico en proyectos de lectura y literatura: coordinador pedagógico encargado de planificar y supervisar iniciativas de lectura y creación literaria dentro de los centros educativos; además, orienta a docentes y gestiona recursos didácticos.</w:t>
      </w:r>
    </w:p>
    <w:p>
      <w:pPr>
        <w:pStyle w:val="normal1"/>
        <w:rPr/>
      </w:pPr>
      <w:r>
        <w:rPr/>
        <w:t xml:space="preserve">• </w:t>
      </w:r>
      <w:r>
        <w:rPr/>
        <w:t>Coordinador de promoción lectora y actividades culturales: responsable de organizar y ejecutar eventos culturales como ferias del libro y talleres literarios destinados a fomentar el hábito de la lectura en diferentes grupos sociales.</w:t>
      </w:r>
    </w:p>
    <w:p>
      <w:pPr>
        <w:pStyle w:val="normal1"/>
        <w:rPr/>
      </w:pPr>
      <w:r>
        <w:rPr/>
        <w:t xml:space="preserve">• </w:t>
      </w:r>
      <w:r>
        <w:rPr/>
        <w:t>Investigador en educación literaria para la infancia y adolescencia: miembro de equipos multidisciplinarios dedicado al estudio y análisis de procesos de enseñanza-aprendizaje de la literatura en niños y adolescentes, aportando evidencia para la mejora de prácticas educativas.</w:t>
      </w:r>
    </w:p>
    <w:p>
      <w:pPr>
        <w:pStyle w:val="normal1"/>
        <w:rPr/>
      </w:pPr>
      <w:r>
        <w:rPr/>
        <w:t xml:space="preserve">• </w:t>
      </w:r>
      <w:r>
        <w:rPr/>
        <w:t>Investigador en educación literaria para la infancia y adolescencia: miembro de equipos multidisciplinarios dedicado al estudio y análisis de procesos de enseñanza-aprendizaje de la literatura en niños y adolescentes, aportando evidencia para la mejora de prácticas educativas.</w:t>
      </w:r>
    </w:p>
    <w:p>
      <w:pPr>
        <w:pStyle w:val="normal1"/>
        <w:rPr/>
      </w:pPr>
      <w:r>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r>
        <w:rPr/>
        <w:t xml:space="preserve">Ph. D. Deisi Yunga Godoy </w:t>
      </w:r>
    </w:p>
    <w:p>
      <w:pPr>
        <w:pStyle w:val="normal1"/>
        <w:numPr>
          <w:ilvl w:val="0"/>
          <w:numId w:val="1"/>
        </w:numPr>
        <w:spacing w:before="0" w:afterAutospacing="0" w:after="0"/>
        <w:ind w:hanging="360" w:start="720"/>
        <w:rPr>
          <w:u w:val="none"/>
        </w:rPr>
      </w:pPr>
      <w:r>
        <w:rPr/>
        <w:t xml:space="preserve">Ph. D. María Mercedes Zuin </w:t>
      </w:r>
    </w:p>
    <w:p>
      <w:pPr>
        <w:pStyle w:val="normal1"/>
        <w:numPr>
          <w:ilvl w:val="0"/>
          <w:numId w:val="1"/>
        </w:numPr>
        <w:spacing w:before="0" w:afterAutospacing="0" w:after="0"/>
        <w:ind w:hanging="360" w:start="720"/>
        <w:rPr>
          <w:u w:val="none"/>
        </w:rPr>
      </w:pPr>
      <w:r>
        <w:rPr/>
        <w:t xml:space="preserve">Ph. D. Ramón Ferreiro Gravié </w:t>
      </w:r>
    </w:p>
    <w:p>
      <w:pPr>
        <w:pStyle w:val="normal1"/>
        <w:numPr>
          <w:ilvl w:val="0"/>
          <w:numId w:val="1"/>
        </w:numPr>
        <w:ind w:hanging="360" w:start="720"/>
        <w:rPr>
          <w:u w:val="none"/>
        </w:rPr>
      </w:pPr>
      <w:r>
        <w:rPr/>
        <w:t xml:space="preserve">Ph. D. Norman González Tamayo </w:t>
      </w:r>
    </w:p>
    <w:p>
      <w:pPr>
        <w:pStyle w:val="normal1"/>
        <w:rPr>
          <w:b/>
          <w:bCs/>
        </w:rPr>
      </w:pPr>
      <w:r>
        <w:rPr>
          <w:b/>
          <w:bCs/>
        </w:rPr>
      </w:r>
    </w:p>
    <w:p>
      <w:pPr>
        <w:pStyle w:val="normal1"/>
        <w:rPr>
          <w:b/>
          <w:bCs/>
        </w:rPr>
      </w:pPr>
      <w:r>
        <w:rPr>
          <w:b/>
          <w:bCs/>
        </w:rPr>
        <w:t xml:space="preserve">Docente </w:t>
      </w:r>
      <w:r>
        <w:rPr/>
        <w:t xml:space="preserve">Ph. D. Deisi Yunga Godoy </w:t>
      </w:r>
    </w:p>
    <w:p>
      <w:pPr>
        <w:pStyle w:val="normal1"/>
        <w:rPr/>
      </w:pPr>
      <w:r>
        <w:rPr/>
        <w:t xml:space="preserve">Es docente e investigadora en el Departamento de Educación de la Universidad Técnica Particular de Loja en Ecuador. Obtuvo su doctorado en Formación de Profesores en la Universidad Eötvös Loránd en Hungría y ha sido becaria de los programas Erasmus Mundus (Mundusfor) y Marie Skłodowska-Curie (EDiTE). Su investigación se centra en la formación docente y el aprendizaje de adultos, con un énfasis particular en el aprendizaje en el lugar de trabajo, la educación superior y el reconocimiento de aprendizajes previos. Ha publicado varias obras, incluyendo dos libros con Edward Elgar Publishing en el Reino Unido. </w:t>
      </w:r>
    </w:p>
    <w:p>
      <w:pPr>
        <w:pStyle w:val="normal1"/>
        <w:rPr/>
      </w:pPr>
      <w:r>
        <w:rPr/>
      </w:r>
    </w:p>
    <w:p>
      <w:pPr>
        <w:pStyle w:val="normal1"/>
        <w:rPr>
          <w:b/>
          <w:bCs/>
        </w:rPr>
      </w:pPr>
      <w:r>
        <w:rPr>
          <w:b/>
          <w:bCs/>
        </w:rPr>
        <w:t xml:space="preserve">Docente </w:t>
      </w:r>
      <w:r>
        <w:rPr/>
        <w:t xml:space="preserve">Ph. D. María Mercedes Zuin </w:t>
      </w:r>
    </w:p>
    <w:p>
      <w:pPr>
        <w:pStyle w:val="normal1"/>
        <w:rPr>
          <w:b/>
          <w:bCs/>
        </w:rPr>
      </w:pPr>
      <w:r>
        <w:rPr/>
        <w:t xml:space="preserve">Ph. D. en Lenguas y Culturas Hispánicas por la Universidad de Huelva-España; magíster en Gerencia y Liderazgo Educativo; especialista en Gerencia y Liderazgo Educacional; Diplomado en Pedagogías Innovadoras; licenciada en Lengua y Literatura; profesora de Educación media en Lengua y Literatura por la UTPL y enfermera en Psiquiatría por la Pontifica Universidad Javeriana-Colombia. Entre las publicaciones se destaca un artículo sobre El socialismo en la Novela Ecuatoriana que fue revisado por pares académicos, capítulo de libro Autores de la Generación de los 30 y algunos artículos de difusión y editora de los libros: Inspiraciones I e Inspiraciones II. </w:t>
      </w:r>
    </w:p>
    <w:p>
      <w:pPr>
        <w:pStyle w:val="normal1"/>
        <w:rPr>
          <w:b/>
          <w:bCs/>
        </w:rPr>
      </w:pPr>
      <w:r>
        <w:rPr>
          <w:b/>
          <w:bCs/>
        </w:rPr>
      </w:r>
    </w:p>
    <w:p>
      <w:pPr>
        <w:pStyle w:val="normal1"/>
        <w:rPr>
          <w:b/>
          <w:bCs/>
        </w:rPr>
      </w:pPr>
      <w:r>
        <w:rPr>
          <w:b/>
          <w:bCs/>
        </w:rPr>
        <w:t xml:space="preserve">Docente </w:t>
      </w:r>
      <w:r>
        <w:rPr/>
        <w:t xml:space="preserve">Ph. D. Ramón Ferreiro Gravié </w:t>
      </w:r>
    </w:p>
    <w:p>
      <w:pPr>
        <w:pStyle w:val="normal1"/>
        <w:rPr/>
      </w:pPr>
      <w:r>
        <w:rPr/>
        <w:t xml:space="preserve">Ph. D. Profesor Eméritus de Nova Southeastern University (EE. UU.), profesor honoris causa de la Universidad Santander y senior researcher en el Miami Educational Research Institute (Meri). Profesor de Honor Bolivariano en la Universidad Simón Bolívar (UNISIMON). Investigador ad Honoren en Fundacredesa (Venezuela). Reconocido con la Distinción al Mérito por Trabajo Científico e Investigativo (Ministerio Educación Superior, Cuba). Fundador de los centros de Educación a Distancia y de Innovación Educativa de la Universidad La Salle de México. Posee más de 25 libros publicados como primer autor por distintas casas editoriales de prestigio internacional. </w:t>
      </w:r>
    </w:p>
    <w:p>
      <w:pPr>
        <w:pStyle w:val="normal1"/>
        <w:rPr/>
      </w:pPr>
      <w:r>
        <w:rPr/>
      </w:r>
    </w:p>
    <w:p>
      <w:pPr>
        <w:pStyle w:val="normal1"/>
        <w:rPr>
          <w:b/>
          <w:bCs/>
        </w:rPr>
      </w:pPr>
      <w:r>
        <w:rPr>
          <w:b/>
          <w:bCs/>
        </w:rPr>
        <w:t xml:space="preserve">Docente </w:t>
      </w:r>
      <w:r>
        <w:rPr/>
        <w:t xml:space="preserve">Ph. D. Norman González Tamayo </w:t>
      </w:r>
    </w:p>
    <w:p>
      <w:pPr>
        <w:pStyle w:val="normal1"/>
        <w:rPr/>
      </w:pPr>
      <w:r>
        <w:rPr/>
        <w:t xml:space="preserve">Ph. D. en Literatura Hispanoamericana contemporánea y máster en Literatura Hispanoamericana por la Universidad de Maryland (Estados Unidos). Ha participado como ponente en varios congresos internacionales de literatura en Brasil, Ecuador, Estados Unidos y México. Asimismo, ha publicado artículos de investigación en libros interdisciplinarios. Su línea de investigación es la literatura contemporánea (siglos XX y XXI). Pertenece al grupo de investigación ELLEC (Estudios de Lingüística, Literatura, Educación y Cultura).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Tendencias pedagógicas y didácticas para la educación</w:t>
      </w:r>
    </w:p>
    <w:p>
      <w:pPr>
        <w:pStyle w:val="normal1"/>
        <w:rPr/>
      </w:pPr>
      <w:r>
        <w:rPr/>
        <w:t xml:space="preserve"> </w:t>
      </w:r>
      <w:r>
        <w:rPr/>
        <w:t xml:space="preserve">Aplica las tendencias pedagógicas didácticas fundamentales que sustentan la educación e impactan en la formación del profesional. </w:t>
      </w:r>
    </w:p>
    <w:p>
      <w:pPr>
        <w:pStyle w:val="normal1"/>
        <w:rPr>
          <w:b/>
          <w:bCs/>
        </w:rPr>
      </w:pPr>
      <w:r>
        <w:rPr>
          <w:b/>
          <w:bCs/>
        </w:rPr>
        <w:t xml:space="preserve">Creación literaria y nuevas tendencias de la literatura en la educación </w:t>
      </w:r>
    </w:p>
    <w:p>
      <w:pPr>
        <w:pStyle w:val="normal1"/>
        <w:rPr/>
      </w:pPr>
      <w:r>
        <w:rPr/>
        <w:t xml:space="preserve">Elabora narrativas literarias que integren técnicas y tendencias contemporáneas, demostrando habilidades para expresar creatividad y reflexión crítica en un contexto educativo. </w:t>
      </w:r>
    </w:p>
    <w:p>
      <w:pPr>
        <w:pStyle w:val="normal1"/>
        <w:rPr>
          <w:b/>
          <w:bCs/>
        </w:rPr>
      </w:pPr>
      <w:r>
        <w:rPr>
          <w:b/>
          <w:bCs/>
        </w:rPr>
        <w:t xml:space="preserve">Metodologías para la enseñanza de la literatura infantil y juvenil en el siglo XXI </w:t>
      </w:r>
    </w:p>
    <w:p>
      <w:pPr>
        <w:pStyle w:val="normal1"/>
        <w:rPr/>
      </w:pPr>
      <w:r>
        <w:rPr/>
        <w:t xml:space="preserve">Aplica metodologías actuales y recursos tecnológicos para enseñar literatura infantil y juvenil, promoviendo la comprensión crítica, el disfrute y la reflexión en los estudiantes. </w:t>
      </w:r>
    </w:p>
    <w:p>
      <w:pPr>
        <w:pStyle w:val="normal1"/>
        <w:rPr>
          <w:b/>
          <w:bCs/>
        </w:rPr>
      </w:pPr>
      <w:r>
        <w:rPr>
          <w:b/>
          <w:bCs/>
        </w:rPr>
        <w:t>Educación, neurociencia y creatividad</w:t>
      </w:r>
    </w:p>
    <w:p>
      <w:pPr>
        <w:pStyle w:val="normal1"/>
        <w:rPr/>
      </w:pPr>
      <w:r>
        <w:rPr/>
        <w:t xml:space="preserve"> </w:t>
      </w:r>
      <w:r>
        <w:rPr/>
        <w:t>Utiliza conceptos de neurociencia y herramientas científicas para estimular la imaginación, la resolución de problemas y la innovación en el aula, mejorando el proceso educativo.</w:t>
      </w:r>
    </w:p>
    <w:p>
      <w:pPr>
        <w:pStyle w:val="normal1"/>
        <w:rPr>
          <w:b/>
          <w:bCs/>
        </w:rPr>
      </w:pPr>
      <w:r>
        <w:rPr>
          <w:b/>
          <w:bCs/>
        </w:rPr>
        <w:t>Titulación I</w:t>
      </w:r>
    </w:p>
    <w:p>
      <w:pPr>
        <w:pStyle w:val="normal1"/>
        <w:rPr/>
      </w:pPr>
      <w:r>
        <w:rPr/>
        <w:t>Para completar tu programa, debes elegir entre desarrollar Trabajo de Titulación (tesis) o realizar Examen Complexivo. Ambas alternativas te permitirán investigar, analizar y evaluar los conocimientos adquiridos durante el posgrado.</w:t>
      </w:r>
    </w:p>
    <w:p>
      <w:pPr>
        <w:pStyle w:val="normal1"/>
        <w:rPr/>
      </w:pPr>
      <w:r>
        <w:rPr>
          <w:b/>
          <w:bCs/>
        </w:rPr>
        <w:t>Semestre 2</w:t>
      </w:r>
      <w:r>
        <w:rPr>
          <w:i/>
          <w:iCs/>
        </w:rPr>
        <w:br/>
      </w:r>
      <w:r>
        <w:rPr/>
        <w:br/>
      </w:r>
      <w:r>
        <w:rPr>
          <w:b/>
          <w:bCs/>
        </w:rPr>
        <w:t>Inclusión y sostenibilidad en entornos laborales</w:t>
      </w:r>
      <w:r>
        <w:rPr/>
        <w:t xml:space="preserve"> </w:t>
      </w:r>
    </w:p>
    <w:p>
      <w:pPr>
        <w:pStyle w:val="normal1"/>
        <w:rPr/>
      </w:pPr>
      <w:r>
        <w:rPr/>
        <w:t>Formula acciones que le permitan impulsar la construcción de ambientes laborales inclusivos con base a principios teóricos y recursos del entorno. Estrategias educativas para la promoción y mediación lectora Aplica estrategias pedagógicas innovadoras y recursos multimedia para promover y mediar la lectura, fomentando este hábito en diversos contextos educativos.</w:t>
      </w:r>
    </w:p>
    <w:p>
      <w:pPr>
        <w:pStyle w:val="normal1"/>
        <w:rPr/>
      </w:pPr>
      <w:r>
        <w:rPr>
          <w:b/>
          <w:bCs/>
        </w:rPr>
        <w:t>Análisis e innovación curricular desde la diversidad cultural</w:t>
      </w:r>
      <w:r>
        <w:rPr/>
        <w:br/>
        <w:t>Aplica los fundamentos teóricos, metodológicos, técnicos e instrumentales de los diseños curriculares en el campo educativo.</w:t>
      </w:r>
    </w:p>
    <w:p>
      <w:pPr>
        <w:pStyle w:val="normal1"/>
        <w:rPr>
          <w:b/>
          <w:bCs/>
        </w:rPr>
      </w:pPr>
      <w:r>
        <w:rPr>
          <w:b/>
          <w:bCs/>
        </w:rPr>
        <w:t xml:space="preserve">Análisis de textos clásicos y contemporáneos desde la educación y la literatura </w:t>
      </w:r>
    </w:p>
    <w:p>
      <w:pPr>
        <w:pStyle w:val="normal1"/>
        <w:rPr/>
      </w:pPr>
      <w:r>
        <w:rPr/>
        <w:t>Analiza críticamente textos clásicos y contemporáneos de literatura infantil y juvenil, resaltando su valor educativo y su aporte al pensamiento universal.</w:t>
      </w:r>
    </w:p>
    <w:p>
      <w:pPr>
        <w:pStyle w:val="normal1"/>
        <w:rPr>
          <w:b/>
          <w:bCs/>
        </w:rPr>
      </w:pPr>
      <w:r>
        <w:rPr>
          <w:b/>
          <w:bCs/>
        </w:rPr>
        <w:t>Titulación II</w:t>
      </w:r>
    </w:p>
    <w:p>
      <w:pPr>
        <w:pStyle w:val="normal1"/>
        <w:widowControl/>
        <w:bidi w:val="0"/>
        <w:spacing w:lineRule="auto" w:line="259" w:before="0" w:after="160"/>
        <w:jc w:val="start"/>
        <w:rPr/>
      </w:pPr>
      <w:r>
        <w:rPr/>
        <w:t>Continúa con la realización del Trabajo de Titulación (tesis) o del Examen Complexivo, los cuales se completarán al finalizar el programa. Esto culminará con la defensa de la tesis o la participación en un examen oral complexivo, según la opción elegida.</w:t>
      </w:r>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y7KWZpI4AI2OENUSWCQQE2lhXQA==">CgMxLjA4AHIhMWFPby1CUnY0MFg4Z1JDVlhLZ05mb1ZSMG50ODJLSEhX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4</Pages>
  <Words>1011</Words>
  <Characters>6024</Characters>
  <CharactersWithSpaces>7008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2026-05-22T17:06:19Z</dcterms:modified>
  <cp:revision>1</cp:revision>
  <dc:subject/>
  <dc:title/>
</cp:coreProperties>
</file>