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rPr>
      </w:pPr>
      <w:r>
        <w:rPr>
          <w:b/>
          <w:bCs/>
        </w:rPr>
        <w:t>MAESTRÍA EN GERENCIA DE INSTITUCIONES DE SALUD</w:t>
      </w:r>
    </w:p>
    <w:p>
      <w:pPr>
        <w:pStyle w:val="normal1"/>
        <w:rPr/>
      </w:pPr>
      <w:r>
        <w:rPr/>
        <w:t>Duración: 1 año</w:t>
      </w:r>
    </w:p>
    <w:p>
      <w:pPr>
        <w:pStyle w:val="normal1"/>
        <w:rPr/>
      </w:pPr>
      <w:r>
        <w:rPr/>
        <w:t>Modalidad: En línea</w:t>
      </w:r>
    </w:p>
    <w:p>
      <w:pPr>
        <w:pStyle w:val="normal1"/>
        <w:rPr/>
      </w:pPr>
      <w:r>
        <w:rPr/>
        <w:t>Precio: $4 590</w:t>
      </w:r>
    </w:p>
    <w:p>
      <w:pPr>
        <w:pStyle w:val="normal1"/>
        <w:rPr/>
      </w:pPr>
      <w:r>
        <w:rPr/>
        <w:t>Maestría académica</w:t>
      </w:r>
    </w:p>
    <w:p>
      <w:pPr>
        <w:pStyle w:val="normal1"/>
        <w:rPr/>
      </w:pPr>
      <w:r>
        <w:rPr/>
        <w:t>Título a obtener: Magíster en Gerencia de Instituciones de Salud</w:t>
      </w:r>
    </w:p>
    <w:p>
      <w:pPr>
        <w:pStyle w:val="normal1"/>
        <w:rPr>
          <w:b/>
          <w:bCs/>
        </w:rPr>
      </w:pPr>
      <w:r>
        <w:rPr>
          <w:b/>
          <w:bCs/>
        </w:rPr>
        <w:t>Obtén hasta el 20% de descuento por formas de pago y becas</w:t>
      </w:r>
    </w:p>
    <w:p>
      <w:pPr>
        <w:pStyle w:val="normal1"/>
        <w:rPr/>
      </w:pPr>
      <w:r>
        <w:rPr/>
        <w:t>Acreditada internacionalmente 5 años</w:t>
      </w:r>
    </w:p>
    <w:p>
      <w:pPr>
        <w:pStyle w:val="normal1"/>
        <w:rPr/>
      </w:pPr>
      <w:r>
        <w:rPr/>
        <w:t xml:space="preserve">Visión: Ser líder en formación integral de excelencia con enfoque global, innovador, inclusivo y sostenible. </w:t>
      </w:r>
    </w:p>
    <w:p>
      <w:pPr>
        <w:pStyle w:val="normal1"/>
        <w:rPr/>
      </w:pPr>
      <w:r>
        <w:rPr/>
        <w:t>Misión: Desde el humanismo de Cristo, buscar la verdad y la unidad del saber, para el desarrollo integral de personas y la promoción del bien común.</w:t>
      </w:r>
    </w:p>
    <w:p>
      <w:pPr>
        <w:pStyle w:val="normal1"/>
        <w:rPr/>
      </w:pPr>
      <w:r>
        <w:rPr/>
        <w:t>CAMPO LABORAL</w:t>
      </w:r>
    </w:p>
    <w:p>
      <w:pPr>
        <w:pStyle w:val="normal1"/>
        <w:rPr/>
      </w:pPr>
      <w:r>
        <w:rPr/>
        <w:t>Con esta maestría podrás desempeñarte como:</w:t>
      </w:r>
    </w:p>
    <w:p>
      <w:pPr>
        <w:pStyle w:val="normal1"/>
        <w:rPr/>
      </w:pPr>
      <w:r>
        <w:rPr/>
        <w:t>•</w:t>
      </w:r>
      <w:r>
        <w:rPr/>
        <w:t>Gestión de calidad en salud: Podrás supervisar los estándares de calidad y seguridad en las instituciones de salud.</w:t>
      </w:r>
    </w:p>
    <w:p>
      <w:pPr>
        <w:pStyle w:val="normal1"/>
        <w:rPr/>
      </w:pPr>
      <w:r>
        <w:rPr/>
        <w:t>•</w:t>
      </w:r>
      <w:r>
        <w:rPr/>
        <w:t>Gestión de recursos humanos en salud: Administrar personal médico y no médico, desarrollar políticas de contratación y capacitación.</w:t>
      </w:r>
    </w:p>
    <w:p>
      <w:pPr>
        <w:pStyle w:val="normal1"/>
        <w:rPr/>
      </w:pPr>
      <w:r>
        <w:rPr/>
        <w:t>•</w:t>
      </w:r>
      <w:r>
        <w:rPr/>
        <w:t>Administración financiera: Serás capaz de gestionar presupuestos, planificar inversiones y optimizar recursos financieros en el sector de la salud.</w:t>
      </w:r>
    </w:p>
    <w:p>
      <w:pPr>
        <w:pStyle w:val="normal1"/>
        <w:rPr/>
      </w:pPr>
      <w:r>
        <w:rPr/>
        <w:t>•</w:t>
      </w:r>
      <w:r>
        <w:rPr/>
        <w:t>Administración de tecnología de la información en salud: Podrás supervisar la implementación y gestión de sistemas y tecnologías médicas.</w:t>
      </w:r>
    </w:p>
    <w:p>
      <w:pPr>
        <w:pStyle w:val="normal1"/>
        <w:rPr>
          <w:b/>
          <w:bCs/>
        </w:rPr>
      </w:pPr>
      <w:r>
        <w:rPr>
          <w:b/>
          <w:bCs/>
        </w:rPr>
      </w:r>
    </w:p>
    <w:p>
      <w:pPr>
        <w:pStyle w:val="normal1"/>
        <w:rPr>
          <w:b/>
          <w:bCs/>
        </w:rPr>
      </w:pPr>
      <w:r>
        <w:rPr>
          <w:b/>
          <w:bCs/>
        </w:rPr>
        <w:t xml:space="preserve">DOCENTES EXPERTOS </w:t>
      </w:r>
    </w:p>
    <w:p>
      <w:pPr>
        <w:pStyle w:val="normal1"/>
        <w:rPr/>
      </w:pPr>
      <w:r>
        <w:rPr/>
        <w:t>Estos son los nombres de los docentes que impartirán las clases en esta carrera de Posgrado:</w:t>
      </w:r>
    </w:p>
    <w:p>
      <w:pPr>
        <w:pStyle w:val="normal1"/>
        <w:numPr>
          <w:ilvl w:val="0"/>
          <w:numId w:val="1"/>
        </w:numPr>
        <w:spacing w:before="0" w:afterAutospacing="0" w:after="0"/>
        <w:ind w:hanging="360" w:start="720"/>
        <w:rPr>
          <w:u w:val="none"/>
        </w:rPr>
      </w:pPr>
      <w:bookmarkStart w:id="0" w:name="_heading=h.jc63c7meog4y"/>
      <w:bookmarkEnd w:id="0"/>
      <w:r>
        <w:rPr/>
        <w:t xml:space="preserve">Dra. Ana Mena Ureta </w:t>
      </w:r>
    </w:p>
    <w:p>
      <w:pPr>
        <w:pStyle w:val="normal1"/>
        <w:numPr>
          <w:ilvl w:val="0"/>
          <w:numId w:val="1"/>
        </w:numPr>
        <w:spacing w:before="0" w:afterAutospacing="0" w:after="0"/>
        <w:ind w:hanging="360" w:start="720"/>
        <w:rPr>
          <w:u w:val="none"/>
        </w:rPr>
      </w:pPr>
      <w:bookmarkStart w:id="1" w:name="_heading=h.hodn1is5anlb"/>
      <w:bookmarkEnd w:id="1"/>
      <w:r>
        <w:rPr/>
        <w:t xml:space="preserve">Luis Enrique Marcano Sanz. PhD. </w:t>
      </w:r>
    </w:p>
    <w:p>
      <w:pPr>
        <w:pStyle w:val="normal1"/>
        <w:numPr>
          <w:ilvl w:val="0"/>
          <w:numId w:val="1"/>
        </w:numPr>
        <w:spacing w:before="0" w:afterAutospacing="0" w:after="0"/>
        <w:ind w:hanging="360" w:start="720"/>
        <w:rPr>
          <w:u w:val="none"/>
        </w:rPr>
      </w:pPr>
      <w:bookmarkStart w:id="2" w:name="_heading=h.50gvwkkznr4m"/>
      <w:bookmarkEnd w:id="2"/>
      <w:r>
        <w:rPr/>
        <w:t xml:space="preserve">Dra. Estefanía Bautista Valarezo </w:t>
      </w:r>
    </w:p>
    <w:p>
      <w:pPr>
        <w:pStyle w:val="normal1"/>
        <w:numPr>
          <w:ilvl w:val="0"/>
          <w:numId w:val="1"/>
        </w:numPr>
        <w:ind w:hanging="360" w:start="720"/>
        <w:rPr>
          <w:u w:val="none"/>
        </w:rPr>
      </w:pPr>
      <w:bookmarkStart w:id="3" w:name="_heading=h.przu9g9n1vqi"/>
      <w:bookmarkEnd w:id="3"/>
      <w:r>
        <w:rPr/>
        <w:t xml:space="preserve">Dr. Nelson Samaniego Idrovo </w:t>
      </w:r>
    </w:p>
    <w:p>
      <w:pPr>
        <w:pStyle w:val="normal1"/>
        <w:rPr/>
      </w:pPr>
      <w:r>
        <w:rPr/>
      </w:r>
    </w:p>
    <w:p>
      <w:pPr>
        <w:pStyle w:val="normal1"/>
        <w:rPr/>
      </w:pPr>
      <w:r>
        <w:rPr/>
      </w:r>
    </w:p>
    <w:p>
      <w:pPr>
        <w:pStyle w:val="normal1"/>
        <w:rPr/>
      </w:pPr>
      <w:r>
        <w:rPr/>
      </w:r>
    </w:p>
    <w:p>
      <w:pPr>
        <w:pStyle w:val="normal1"/>
        <w:rPr/>
      </w:pPr>
      <w:r>
        <w:rPr/>
      </w:r>
    </w:p>
    <w:p>
      <w:pPr>
        <w:pStyle w:val="normal1"/>
        <w:rPr>
          <w:b/>
          <w:bCs/>
        </w:rPr>
      </w:pPr>
      <w:bookmarkStart w:id="4" w:name="_heading=h.jc63c7meog4y_Copia_1"/>
      <w:bookmarkEnd w:id="4"/>
      <w:r>
        <w:rPr>
          <w:b/>
          <w:bCs/>
        </w:rPr>
        <w:t xml:space="preserve">Docente </w:t>
      </w:r>
      <w:r>
        <w:rPr/>
        <w:t xml:space="preserve">Dra. Ana Mena Ureta </w:t>
      </w:r>
    </w:p>
    <w:p>
      <w:pPr>
        <w:pStyle w:val="normal1"/>
        <w:rPr/>
      </w:pPr>
      <w:bookmarkStart w:id="5" w:name="_heading=h.tuqyt1chh01l"/>
      <w:bookmarkEnd w:id="5"/>
      <w:r>
        <w:rPr/>
        <w:t xml:space="preserve">Economista de la salud. Máster en Economía del Desarrollo y en Economía de la Salud con experiencia en análisis económico en desarrollo social y economía de la salud en instituciones públicas y privadas. Es consultora de la Organización Panamericana de la Salud y ha realizado proyectos de consultoría para Banco Mundial, OPS, BID, OIT, UNFPA e instituciones nacionales. Su experiencia se centra en temas de financiamiento de la salud, mecanismos de pago, eficiencia del gasto, impuestos a consumos nocivos y demás temas de economía de la salud. </w:t>
      </w:r>
    </w:p>
    <w:p>
      <w:pPr>
        <w:pStyle w:val="normal1"/>
        <w:rPr>
          <w:b/>
          <w:bCs/>
        </w:rPr>
      </w:pPr>
      <w:r>
        <w:rPr>
          <w:b/>
          <w:bCs/>
        </w:rPr>
      </w:r>
    </w:p>
    <w:p>
      <w:pPr>
        <w:pStyle w:val="normal1"/>
        <w:rPr>
          <w:b/>
          <w:bCs/>
        </w:rPr>
      </w:pPr>
      <w:bookmarkStart w:id="6" w:name="_heading=h.hodn1is5anlb_Copia_1"/>
      <w:bookmarkEnd w:id="6"/>
      <w:r>
        <w:rPr>
          <w:b/>
          <w:bCs/>
        </w:rPr>
        <w:t xml:space="preserve">Docente </w:t>
      </w:r>
      <w:r>
        <w:rPr/>
        <w:t xml:space="preserve">Luis Enrique Marcano Sanz. PhD. </w:t>
      </w:r>
    </w:p>
    <w:p>
      <w:pPr>
        <w:pStyle w:val="normal1"/>
        <w:rPr/>
      </w:pPr>
      <w:bookmarkStart w:id="7" w:name="_heading=h.r1n08h9mgvg8"/>
      <w:bookmarkEnd w:id="7"/>
      <w:r>
        <w:rPr/>
        <w:t xml:space="preserve">Doctor en Ciencias Médicas (PhD) por la Universidad de Ciencias Médicas de La Habana; Magíster en Gerencia de Instituciones de Salud por la UTPL; Máster en Urgencias Médicas por la Universidad de Ciencias Médicas de la Habana; Entrenamiento Cirugía Cardiotorácica del Centro Quirúrgico “Marie Lannelongue”, Paris; Entrenamiento en Cirugía Cardiovascular, Torácica y Morfología Cardiaca en el Hospital Great Ormond Street, Londres. Especialista en Cirugía Cardiovascular por la Universidad Ciencias Médicas de la Habana. Especialista en Cirugía Pediátrica. Universidad Ciencias Médicas Santiago de Cuba; Doctor en Medicina. Universidad Ciencias Médicas de Santiago de Cuba. Título de Oro. Miembro Titular de las Sociedades Cubanas de Cirugía Pediátrica y Cardiología. Responsable de la Unidad de Cirugía Cardiotorácica Pediátrica. Hospital Regional “Vicente Corral Moscoso” Cuenca. Cirujano Pediátrico y Cardiovascular. Hospital Monte Sinaí y Clínica Santa Ana. Cuenca. </w:t>
      </w:r>
    </w:p>
    <w:p>
      <w:pPr>
        <w:pStyle w:val="normal1"/>
        <w:rPr>
          <w:b/>
          <w:bCs/>
        </w:rPr>
      </w:pPr>
      <w:r>
        <w:rPr>
          <w:b/>
          <w:bCs/>
        </w:rPr>
      </w:r>
    </w:p>
    <w:p>
      <w:pPr>
        <w:pStyle w:val="normal1"/>
        <w:rPr>
          <w:b/>
          <w:bCs/>
        </w:rPr>
      </w:pPr>
      <w:bookmarkStart w:id="8" w:name="_heading=h.50gvwkkznr4m_Copia_1"/>
      <w:bookmarkEnd w:id="8"/>
      <w:r>
        <w:rPr>
          <w:b/>
          <w:bCs/>
        </w:rPr>
        <w:t xml:space="preserve">Docente </w:t>
      </w:r>
      <w:r>
        <w:rPr/>
        <w:t xml:space="preserve">Dra. Estefanía Bautista Valarezo </w:t>
      </w:r>
    </w:p>
    <w:p>
      <w:pPr>
        <w:pStyle w:val="normal1"/>
        <w:rPr/>
      </w:pPr>
      <w:bookmarkStart w:id="9" w:name="_heading=h.i6d07kjh00n3"/>
      <w:bookmarkEnd w:id="9"/>
      <w:r>
        <w:rPr/>
        <w:t>Especialista en Medicina Familiar (PUCE), Magister en Gerencia en Salud para el Desarrollo Local (UTPL), Especialista en Gerencia y Planificación Estratégica de Salud (UTPL), Diplomado Superior en Desarrollo Local y Salud (UTPL); Diplomado en Bioestadística por la Pontificia Católica de Chile, Candidato a PhD en Ciencias Médicas de la Universidad de Amberes Bélgica. Miembro del comité de Bioética (CEISH) de la UTPL. Docente universitario desde junio del 2009.</w:t>
      </w:r>
    </w:p>
    <w:p>
      <w:pPr>
        <w:pStyle w:val="normal1"/>
        <w:rPr>
          <w:b/>
          <w:bCs/>
        </w:rPr>
      </w:pPr>
      <w:r>
        <w:rPr>
          <w:b/>
          <w:bCs/>
        </w:rPr>
      </w:r>
    </w:p>
    <w:p>
      <w:pPr>
        <w:pStyle w:val="normal1"/>
        <w:rPr>
          <w:b/>
          <w:bCs/>
        </w:rPr>
      </w:pPr>
      <w:bookmarkStart w:id="10" w:name="_heading=h.przu9g9n1vqi_Copia_1"/>
      <w:bookmarkEnd w:id="10"/>
      <w:r>
        <w:rPr>
          <w:b/>
          <w:bCs/>
        </w:rPr>
        <w:t xml:space="preserve">Docente </w:t>
      </w:r>
      <w:r>
        <w:rPr/>
        <w:t xml:space="preserve">Dr. Nelson Samaniego Idrovo </w:t>
      </w:r>
    </w:p>
    <w:p>
      <w:pPr>
        <w:pStyle w:val="normal1"/>
        <w:rPr/>
      </w:pPr>
      <w:bookmarkStart w:id="11" w:name="_heading=h.va2o0fl6irrm"/>
      <w:bookmarkEnd w:id="11"/>
      <w:r>
        <w:rPr/>
        <w:t>Médico especialista en Cirugía General, Magíster en Salud Pública con énfasis en gestión, ha sido director provincial de Salud de Loja, Coordinador del Posgrado de Curugía de la UNL; director del Departamento de Cirugía de la UNL; director Médico del Hospital IESS-Manuel Ygnacio Montero; director SOLCALoja. Docente universitario por más de 25 años.</w:t>
      </w:r>
    </w:p>
    <w:p>
      <w:pPr>
        <w:pStyle w:val="normal1"/>
        <w:rPr/>
      </w:pPr>
      <w:r>
        <w:rPr/>
      </w:r>
    </w:p>
    <w:p>
      <w:pPr>
        <w:pStyle w:val="normal1"/>
        <w:rPr>
          <w:b/>
          <w:bCs/>
        </w:rPr>
      </w:pPr>
      <w:r>
        <w:rPr>
          <w:b/>
          <w:bCs/>
        </w:rPr>
        <w:t>Malla curricular</w:t>
      </w:r>
    </w:p>
    <w:p>
      <w:pPr>
        <w:pStyle w:val="normal1"/>
        <w:rPr>
          <w:b/>
          <w:bCs/>
        </w:rPr>
      </w:pPr>
      <w:r>
        <w:rPr>
          <w:b/>
          <w:bCs/>
        </w:rPr>
        <w:t>Semestre 1</w:t>
      </w:r>
    </w:p>
    <w:p>
      <w:pPr>
        <w:pStyle w:val="normal1"/>
        <w:rPr>
          <w:b/>
          <w:bCs/>
        </w:rPr>
      </w:pPr>
      <w:r>
        <w:rPr>
          <w:b/>
          <w:bCs/>
        </w:rPr>
        <w:t>Bioética</w:t>
      </w:r>
    </w:p>
    <w:p>
      <w:pPr>
        <w:pStyle w:val="normal1"/>
        <w:rPr/>
      </w:pPr>
      <w:r>
        <w:rPr/>
        <w:t>A largo de esta asignatura se explorarán los aspectos éticos y bioéticos que influyen en la ejecución de auditorías en servicios de salud, poniendo de relieve su relevancia en la toma de decisiones médicas, en la protección de los derechos humanos y del paciente, y en la promoción de investigaciones médicas éticas y respetuosas.</w:t>
      </w:r>
    </w:p>
    <w:p>
      <w:pPr>
        <w:pStyle w:val="normal1"/>
        <w:rPr/>
      </w:pPr>
      <w:r>
        <w:rPr/>
      </w:r>
    </w:p>
    <w:p>
      <w:pPr>
        <w:pStyle w:val="normal1"/>
        <w:rPr/>
      </w:pPr>
      <w:r>
        <w:rPr/>
      </w:r>
    </w:p>
    <w:p>
      <w:pPr>
        <w:pStyle w:val="normal1"/>
        <w:rPr>
          <w:b/>
          <w:bCs/>
        </w:rPr>
      </w:pPr>
      <w:r>
        <w:rPr>
          <w:b/>
          <w:bCs/>
        </w:rPr>
        <w:t>Dirección y Liderazgo en Salud</w:t>
      </w:r>
    </w:p>
    <w:p>
      <w:pPr>
        <w:pStyle w:val="normal1"/>
        <w:rPr/>
      </w:pPr>
      <w:r>
        <w:rPr/>
        <w:t>Te enfocarás en el análisis de los nuevos procesos de dirección y liderazgo en las instituciones del siglo XXI. A lo largo del curso, se diferenciará el papel esencial de los líderes y dirigentes en la transformación de las instituciones sanitarias hacia un entorno dinámico y moderno. Además, se llevará a cabo una comparación exhaustiva de los diferentes modelos de liderazgo, abriendo espacio para la proposición de enfoques y estrategias innovadoras que fomenten la gerencia compartida y efectiva.</w:t>
      </w:r>
    </w:p>
    <w:p>
      <w:pPr>
        <w:pStyle w:val="normal1"/>
        <w:rPr/>
      </w:pPr>
      <w:r>
        <w:rPr/>
      </w:r>
    </w:p>
    <w:p>
      <w:pPr>
        <w:pStyle w:val="normal1"/>
        <w:rPr>
          <w:b/>
          <w:bCs/>
        </w:rPr>
      </w:pPr>
      <w:r>
        <w:rPr>
          <w:b/>
          <w:bCs/>
        </w:rPr>
        <w:t>Política y Legislación en Salud</w:t>
      </w:r>
    </w:p>
    <w:p>
      <w:pPr>
        <w:pStyle w:val="normal1"/>
        <w:rPr/>
      </w:pPr>
      <w:r>
        <w:rPr/>
        <w:t>En este curso conocerás cómo las leyes y políticas gubernamentales afectan la atención médica y la salud pública. Analizarás temas como financiación de la atención médica, ética sanitaria y toma de decisiones políticas en este contexto.</w:t>
      </w:r>
    </w:p>
    <w:p>
      <w:pPr>
        <w:pStyle w:val="normal1"/>
        <w:rPr/>
      </w:pPr>
      <w:r>
        <w:rPr/>
      </w:r>
    </w:p>
    <w:p>
      <w:pPr>
        <w:pStyle w:val="normal1"/>
        <w:rPr>
          <w:b/>
          <w:bCs/>
        </w:rPr>
      </w:pPr>
      <w:r>
        <w:rPr>
          <w:b/>
          <w:bCs/>
        </w:rPr>
        <w:t>Administración y Planificación en Salud</w:t>
      </w:r>
    </w:p>
    <w:p>
      <w:pPr>
        <w:pStyle w:val="normal1"/>
        <w:rPr/>
      </w:pPr>
      <w:r>
        <w:rPr/>
        <w:t>Aprenderás los principios y técnicas para gestionar eficazmente recursos, personal y servicios en el campo de la salud, con el objetivo de mejorar la calidad y la eficiencia de los sistemas de atención médica.</w:t>
      </w:r>
    </w:p>
    <w:p>
      <w:pPr>
        <w:pStyle w:val="normal1"/>
        <w:rPr>
          <w:b/>
          <w:bCs/>
        </w:rPr>
      </w:pPr>
      <w:r>
        <w:rPr>
          <w:b/>
          <w:bCs/>
        </w:rPr>
        <w:t>Epidemiología</w:t>
      </w:r>
    </w:p>
    <w:p>
      <w:pPr>
        <w:pStyle w:val="normal1"/>
        <w:rPr/>
      </w:pPr>
      <w:r>
        <w:rPr/>
        <w:t>Te enfocarás en el análisis de patrones de enfermedades, identificación de factores de riesgo y desarrollo de estrategias para prevenir y controlar brotes epidemiológicos. También explorarás métodos de investigación y estadísticas para comprender mejor la salud pública.</w:t>
      </w:r>
    </w:p>
    <w:p>
      <w:pPr>
        <w:pStyle w:val="normal1"/>
        <w:rPr/>
      </w:pPr>
      <w:r>
        <w:rPr/>
      </w:r>
    </w:p>
    <w:p>
      <w:pPr>
        <w:pStyle w:val="normal1"/>
        <w:rPr/>
      </w:pPr>
      <w:r>
        <w:rPr>
          <w:b/>
          <w:bCs/>
        </w:rPr>
        <w:t>Titulación I</w:t>
      </w:r>
    </w:p>
    <w:p>
      <w:pPr>
        <w:pStyle w:val="normal1"/>
        <w:rPr/>
      </w:pPr>
      <w:r>
        <w:rPr/>
        <w:t>En esta asignatura podrás diseñar un proyecto de titulación siguiendo la estructura y los criterios establecidos en la institución.</w:t>
      </w:r>
    </w:p>
    <w:p>
      <w:pPr>
        <w:pStyle w:val="normal1"/>
        <w:rPr/>
      </w:pPr>
      <w:r>
        <w:rPr/>
      </w:r>
    </w:p>
    <w:p>
      <w:pPr>
        <w:pStyle w:val="normal1"/>
        <w:rPr/>
      </w:pPr>
      <w:r>
        <w:rPr>
          <w:b/>
          <w:bCs/>
        </w:rPr>
        <w:t>Semestre 2</w:t>
      </w:r>
    </w:p>
    <w:p>
      <w:pPr>
        <w:pStyle w:val="normal1"/>
        <w:rPr/>
      </w:pPr>
      <w:r>
        <w:rPr/>
        <w:t>Calidad de los Servicios de Salud</w:t>
      </w:r>
    </w:p>
    <w:p>
      <w:pPr>
        <w:pStyle w:val="normal1"/>
        <w:rPr/>
      </w:pPr>
      <w:r>
        <w:rPr/>
        <w:t>En esta asignatura, se analizará los sistemas de gestión de calidad en los servicios de salud, considerando su aplicabilidad en consonancia con la normativa vigente. Los participantes adquieren la habilidad de aplicar diversas herramientas e instrumentos provenientes de los modelos de gestión de calidad para abordar problemáticas específicas en los servicios de salud. Además, se fomenta la capacidad de desarrollar y ejecutar proyectos de mejora continua, aplicando los protocolos de seguridad establecidos en el modelo de atención médica del país.</w:t>
      </w:r>
    </w:p>
    <w:p>
      <w:pPr>
        <w:pStyle w:val="normal1"/>
        <w:rPr/>
      </w:pPr>
      <w:r>
        <w:rPr/>
        <w:t>Gestión del Talento Humano</w:t>
      </w:r>
    </w:p>
    <w:p>
      <w:pPr>
        <w:pStyle w:val="normal1"/>
        <w:rPr/>
      </w:pPr>
      <w:r>
        <w:rPr/>
        <w:t>Te brinda una base sólida al analizar los fundamentos teóricos que sustentan esta disciplina. A lo largo del curso, los estudiantes tienen la oportunidad de aplicar los procesos de reclutamiento y selección de personal a partir de un diseño detallado, descripción y análisis de puestos. Además, se exploran y aplican los procesos de evaluación de desempeño en el contexto específico de las organizaciones de salud. Esta asignatura proporciona herramientas esenciales para comprender y abordar eficazmente las dinámicas del recurso humano en el ámbito de la gestión, contribuyendo así al éxito y desarrollo de las organizaciones.</w:t>
      </w:r>
    </w:p>
    <w:p>
      <w:pPr>
        <w:pStyle w:val="normal1"/>
        <w:rPr/>
      </w:pPr>
      <w:r>
        <w:rPr/>
      </w:r>
    </w:p>
    <w:p>
      <w:pPr>
        <w:pStyle w:val="normal1"/>
        <w:rPr/>
      </w:pPr>
      <w:r>
        <w:rPr/>
        <w:t>Habilidades Gerenciales</w:t>
      </w:r>
    </w:p>
    <w:p>
      <w:pPr>
        <w:pStyle w:val="normal1"/>
        <w:rPr/>
      </w:pPr>
      <w:r>
        <w:rPr/>
        <w:t>En esta asignatura adquirirás las habilidades necesarias para administrar eficazmente organizaciones de atención médica. Aprenderás a liderar equipos, tomar decisiones estratégicas, gestionar recursos y mejorar la calidad de la atención médica en un entorno de salud. También se abordarás temas como la ética, la comunicación efectiva y la adaptación a los cambios en el sistema de salud.</w:t>
      </w:r>
    </w:p>
    <w:p>
      <w:pPr>
        <w:pStyle w:val="normal1"/>
        <w:rPr/>
      </w:pPr>
      <w:r>
        <w:rPr/>
      </w:r>
    </w:p>
    <w:p>
      <w:pPr>
        <w:pStyle w:val="normal1"/>
        <w:rPr/>
      </w:pPr>
      <w:r>
        <w:rPr/>
        <w:t>Economía y Financiamiento en Salud</w:t>
      </w:r>
    </w:p>
    <w:p>
      <w:pPr>
        <w:pStyle w:val="normal1"/>
        <w:rPr/>
      </w:pPr>
      <w:r>
        <w:rPr/>
        <w:t>Aprenderás sobre los sistemas de financiamiento, costos de atención médica, políticas de salud y cómo estas afectan la calidad y accesibilidad de los servicios de salud. También analizarás temas como seguros médicos, presupuestos de salud y la toma de decisiones económicas en el ámbito sanitario.</w:t>
      </w:r>
    </w:p>
    <w:p>
      <w:pPr>
        <w:pStyle w:val="normal1"/>
        <w:rPr/>
      </w:pPr>
      <w:r>
        <w:rPr/>
        <w:t>Supervivencia y rentabilidad</w:t>
      </w:r>
    </w:p>
    <w:p>
      <w:pPr>
        <w:pStyle w:val="normal1"/>
        <w:rPr/>
      </w:pPr>
      <w:r>
        <w:rPr/>
        <w:t>En esta asignatura podrás contrastar los resultados de la aplicación de herramientas presupuestarias y contables en la evaluación de la gestión en salud. Además, evaluar la eficiencia de los servicios de salud teniendo en cuenta estándares financieros. También, se enfoca en formular estrategias de fortalecimiento en procesos institucionales para lograr la sostenibilidad financiera del servicio de salud.</w:t>
      </w:r>
    </w:p>
    <w:p>
      <w:pPr>
        <w:pStyle w:val="normal1"/>
        <w:rPr/>
      </w:pPr>
      <w:r>
        <w:rPr/>
      </w:r>
    </w:p>
    <w:p>
      <w:pPr>
        <w:pStyle w:val="normal1"/>
        <w:rPr>
          <w:b/>
          <w:bCs/>
        </w:rPr>
      </w:pPr>
      <w:r>
        <w:rPr>
          <w:b/>
          <w:bCs/>
        </w:rPr>
        <w:t>Titulación II</w:t>
      </w:r>
    </w:p>
    <w:p>
      <w:pPr>
        <w:pStyle w:val="normal1"/>
        <w:rPr/>
      </w:pPr>
      <w:r>
        <w:rPr/>
        <w:t>El desarrollo del proyecto de titulación debe llevarse a cabo de acuerdo con la estructura y los criterios establecidos por la institución para esta modalidad. Además, es esencial trabajar en el desarrollo de las competencias genéricas y específicas que han sido definidas para la evaluación del examen complexivo de la titulación. Estas dos etapas son fundamentales en el proceso de obtención del título académico y requieren una atención cuidadosa para garantizar el éxito en la culminación de los estudios.</w:t>
      </w:r>
    </w:p>
    <w:p>
      <w:pPr>
        <w:pStyle w:val="normal1"/>
        <w:rPr/>
      </w:pPr>
      <w:r>
        <w:rPr/>
      </w:r>
    </w:p>
    <w:p>
      <w:pPr>
        <w:pStyle w:val="normal1"/>
        <w:rPr/>
      </w:pPr>
      <w:r>
        <w:rPr/>
      </w:r>
    </w:p>
    <w:p>
      <w:pPr>
        <w:pStyle w:val="normal1"/>
        <w:rPr>
          <w:b/>
          <w:bCs/>
        </w:rPr>
      </w:pPr>
      <w:r>
        <w:rPr>
          <w:b/>
          <w:bCs/>
        </w:rPr>
        <w:t>PROCESO DE POSTULACIÓN</w:t>
      </w:r>
    </w:p>
    <w:p>
      <w:pPr>
        <w:pStyle w:val="normal1"/>
        <w:rPr/>
      </w:pPr>
      <w:r>
        <w:rPr/>
        <w:t>Crear una cuenta:</w:t>
      </w:r>
    </w:p>
    <w:p>
      <w:pPr>
        <w:pStyle w:val="normal1"/>
        <w:rPr/>
      </w:pPr>
      <w:r>
        <w:rPr/>
        <w:t xml:space="preserve"> </w:t>
      </w:r>
      <w:r>
        <w:rPr/>
        <w:t xml:space="preserve">ingrese a utpl.edu.ec/ posgrados, seleccione el programa de su preferencia y haga clic en Postular. </w:t>
      </w:r>
    </w:p>
    <w:p>
      <w:pPr>
        <w:pStyle w:val="normal1"/>
        <w:rPr/>
      </w:pPr>
      <w:r>
        <w:rPr/>
        <w:t>Complete la solicitud de admisión: llene el formulario con la información solicitada, elija el tipo de entrevista (zoom o formulario en línea), cargue los documentos (título, cédula/pasaporte, hoja de vida) y acepte los términos y condiciones.</w:t>
      </w:r>
    </w:p>
    <w:p>
      <w:pPr>
        <w:pStyle w:val="normal1"/>
        <w:rPr/>
      </w:pPr>
      <w:r>
        <w:rPr/>
        <w:t xml:space="preserve"> </w:t>
      </w:r>
      <w:r>
        <w:rPr/>
        <w:t>Finalice su matrícula: una vez completado los pasos anteriores, procede con la matrícula</w:t>
      </w:r>
    </w:p>
    <w:p>
      <w:pPr>
        <w:pStyle w:val="normal1"/>
        <w:rPr>
          <w:b/>
          <w:bCs/>
        </w:rPr>
      </w:pPr>
      <w:r>
        <w:rPr>
          <w:b/>
          <w:bCs/>
        </w:rPr>
        <w:t>REQUISITOS DE POSTULACIÓN</w:t>
      </w:r>
    </w:p>
    <w:p>
      <w:pPr>
        <w:pStyle w:val="normal1"/>
        <w:rPr/>
      </w:pPr>
      <w:r>
        <w:rPr/>
        <w:t>1. Título de tercer nivel de grado, registrado por el órgano rector de la política pública de educación superior. Si es título extranjero, apostillado o legalizado por vía consular.</w:t>
      </w:r>
    </w:p>
    <w:p>
      <w:pPr>
        <w:pStyle w:val="normal1"/>
        <w:rPr/>
      </w:pPr>
      <w:r>
        <w:rPr/>
        <w:t>2. Identificación: cédula de identidad o pasaporte para extranjeros.</w:t>
      </w:r>
    </w:p>
    <w:p>
      <w:pPr>
        <w:pStyle w:val="normal1"/>
        <w:rPr/>
      </w:pPr>
      <w:r>
        <w:rPr/>
        <w:t>3. Hoja de vida, preferentemente en el formato institucional.</w:t>
      </w:r>
    </w:p>
    <w:p>
      <w:pPr>
        <w:pStyle w:val="normal1"/>
        <w:rPr/>
      </w:pPr>
      <w:r>
        <w:rPr/>
        <w:t>4. Entrevista de admisión, con dos opciones a elegir:</w:t>
      </w:r>
    </w:p>
    <w:p>
      <w:pPr>
        <w:pStyle w:val="normal1"/>
        <w:rPr/>
      </w:pPr>
      <w:r>
        <w:rPr/>
        <w:t xml:space="preserve">• </w:t>
      </w:r>
      <w:r>
        <w:rPr/>
        <w:t>Via zoon: agendando fecha y hora</w:t>
      </w:r>
    </w:p>
    <w:p>
      <w:pPr>
        <w:pStyle w:val="normal1"/>
        <w:rPr/>
      </w:pPr>
      <w:r>
        <w:rPr/>
        <w:t xml:space="preserve">• </w:t>
      </w:r>
      <w:r>
        <w:rPr/>
        <w:t>Formulario en línea: completando las preguntas directamente en la plataforma</w:t>
      </w:r>
    </w:p>
    <w:p>
      <w:pPr>
        <w:pStyle w:val="normal1"/>
        <w:rPr/>
      </w:pPr>
      <w:r>
        <w:rPr/>
        <w:t>5. Documentos adicionales, solo en caso de aplicar a cupos especiales (discapacidad, personal académico, administrativos o de servicios de la UTPL) o si el programa lo requiere.</w:t>
      </w:r>
    </w:p>
    <w:p>
      <w:pPr>
        <w:pStyle w:val="normal1"/>
        <w:rPr/>
      </w:pPr>
      <w:r>
        <w:rPr/>
      </w:r>
    </w:p>
    <w:p>
      <w:pPr>
        <w:pStyle w:val="normal1"/>
        <w:widowControl/>
        <w:bidi w:val="0"/>
        <w:spacing w:lineRule="auto" w:line="259" w:before="0" w:after="160"/>
        <w:jc w:val="start"/>
        <w:rPr/>
      </w:pPr>
      <w:r>
        <w:rPr/>
      </w:r>
      <w:bookmarkStart w:id="12" w:name="_heading=h.va2o0fl6irrm_Copia_1"/>
      <w:bookmarkStart w:id="13" w:name="_heading=h.va2o0fl6irrm_Copia_1"/>
      <w:bookmarkEnd w:id="13"/>
    </w:p>
    <w:sectPr>
      <w:type w:val="nextPage"/>
      <w:pgSz w:w="12240" w:h="1584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w:charset w:val="02"/>
    <w:family w:val="auto"/>
    <w:pitch w:val="default"/>
    <w:embedRegular r:id="rId5" w:fontKey="{05014A78-CABC-4EF0-12AC-5CD89AEFDE05}"/>
    <w:embedBold r:id="rId6" w:fontKey="{06014A78-CABC-4EF0-12AC-5CD89AEFDE06}"/>
  </w:font>
  <w:font w:name="Wingdings 2">
    <w:charset w:val="02"/>
    <w:family w:val="auto"/>
    <w:pitch w:val="default"/>
    <w:embedRegular r:id="rId7" w:fontKey="{07014A78-CABC-4EF0-12AC-5CD89AEFDE07}"/>
    <w:embedBold r:id="rId8" w:fontKey="{08014A78-CABC-4EF0-12AC-5CD89AEFDE08}"/>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normal11">
    <w:name w:val="normal11"/>
    <w:qFormat/>
    <w:pPr>
      <w:widowControl/>
      <w:suppressAutoHyphens w:val="true"/>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ndiceuser">
    <w:name w:val="Índice (user)"/>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9rjBmJWMJZFflHC7SSGi7NRFORw==">CgMxLjAyDmguamM2M2M3bWVvZzR5Mg5oLmhvZG4xaXM1YW5sYjIOaC41MGd2d2trem5yNG0yDmgucHJ6dTlnOW4xdnFpMg5oLmpjNjNjN21lb2c0eTIOaC50dXF5dDFjaGgwMWwyDmguaG9kbjFpczVhbmxiMg5oLnIxbjA4aDltZ3ZnODIOaC41MGd2d2trem5yNG0yDmguaTZkMDdramgwMG4zMg5oLnByenU5ZzluMXZxaTIOaC52YTJvMGZsNmlycm0yDmgudmEybzBmbDZpcnJtOAByITFmQjNldnhETDI5dU1lekFMMHdJU1huaHpfMHE0bnFf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ages>5</Pages>
  <Words>1460</Words>
  <Characters>8348</Characters>
  <CharactersWithSpaces>9749</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es-EC</dc:language>
  <cp:lastModifiedBy/>
  <dcterms:modified xsi:type="dcterms:W3CDTF">2026-05-22T17:08:52Z</dcterms:modified>
  <cp:revision>1</cp:revision>
  <dc:subject/>
  <dc:title/>
</cp:coreProperties>
</file>