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NEGOCIACIÓN Y VENTAS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Modalidad: En línea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Duración: 2 años (8 ciclos)</w:t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Costo referencial ciclo I: $321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 Título que recibe: Tecnólogo/a Superior en Negociación y Ventas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Inicio de clases: Junio - Agosto 2026.</w:t>
        <w:br w:type="textWrapping"/>
        <w:br w:type="textWrapping"/>
        <w:t xml:space="preserve">Formas de pago: 8% de descuento por pronto pago con tarjeta de crédito, tarjeta débito o efectivo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heading=h.zhq7m4dtwadz" w:id="0"/>
      <w:bookmarkEnd w:id="0"/>
      <w:r w:rsidDel="00000000" w:rsidR="00000000" w:rsidRPr="00000000">
        <w:rPr>
          <w:sz w:val="26"/>
          <w:szCs w:val="26"/>
          <w:rtl w:val="0"/>
        </w:rPr>
        <w:t xml:space="preserve">Descripción de la carrera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carrera está orientada al desarrollo de habilidades en gestión comercial y ventas estratégicas. El estudiante aplicará principios administrativos y liderazgo ético para gestionar ventas de manera efectiva, fortaleciendo las relaciones con los clientes y contribuyendo al crecimiento de los negocios.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Además, aprenderá a analizar datos demográficos, comportamentales y de mercado para la toma de decisiones estratégicas.</w:t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Herramientas y beneficios de la carrera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Durante la carrera, el estudiante podrá: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Desarrollar habilidades de liderazgo y negociación.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Fortalecer la comunicación y el relacionamiento con clientes.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Utilizar tecnologías aplicadas a la gestión comercial.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Implementar estrategias integrales para la administración de cuentas clave.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Analizar información de mercado para potenciar oportunidades de negocio.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Mejorar la toma de decisiones mediante el análisis de datos.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Adquirir conocimientos prácticos orientados al entorno empresarial actual.</w:t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PERFIL PROFESIONAL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Gestiona ventas con liderazgo ético, apoyado en análisis de datos, tecnología y estrategias de relacionamiento para clientes clave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Aplica de manera efectiva los principios administrativos en la gestión de ventas sustentada en valores éticos y un liderazgo inspirador. 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Analiza datos demográficos, comportamentales y de mercado para obtener relaciones estratégicas con los clientes. 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Utiliza tecnología en la gestión comercial y de ventas para fortalecer el relacionamiento con los clientes.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Desarrolla estrategias integrales de gestión de cuentas clave y habilidades de comunicación efectiva.</w:t>
        <w:br w:type="textWrapping"/>
        <w:br w:type="textWrapping"/>
        <w:t xml:space="preserve">PAO 1.1.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Estrategias de Ventas y Negociación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Competencias Humanas para el Futuro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PAO 1.2.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Gestión de Liderazgo en Ventas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Gestión Empresarial y Teorías de la Organización</w:t>
        <w:br w:type="textWrapping"/>
        <w:br w:type="textWrapping"/>
        <w:t xml:space="preserve">PAO 2.1.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Investigación de Mercados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Emprendimiento e Innovación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PAO 2.2.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Gestión de Relaciones con el Cliente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Inteligencia de Negocios</w:t>
        <w:br w:type="textWrapping"/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PAO 3.1.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Marco Estratégico Comercial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Gestión Financiera y Presupuestaria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PAO 3.2.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Marketing Intelligence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Software aplicado a la Gestión de Negocios</w:t>
        <w:br w:type="textWrapping"/>
        <w:br w:type="textWrapping"/>
        <w:t xml:space="preserve">PAO 4.1.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Gestión de Cuentas Claves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Estadística aplicada a los Negocios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Trabajo de Integración Curricular / Examen Complexivo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PAO 4.2.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Comunicación Estratégica y Técnicas de Negociación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Gestión basada en Datos y Análisis Empresarial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Trabajo de Integración Curricular / Examen Complexivo</w:t>
        <w:br w:type="textWrapping"/>
        <w:br w:type="textWrapping"/>
        <w:t xml:space="preserve">Prácticas preprofesionales: servicio comunitario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Prácticas preprofesionales: laboral</w:t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bookmarkStart w:colFirst="0" w:colLast="0" w:name="_heading=h.tzpfb2sylvnw" w:id="1"/>
      <w:bookmarkEnd w:id="1"/>
      <w:r w:rsidDel="00000000" w:rsidR="00000000" w:rsidRPr="00000000">
        <w:rPr>
          <w:b w:val="1"/>
          <w:bCs w:val="1"/>
          <w:rtl w:val="0"/>
        </w:rPr>
        <w:t xml:space="preserve">MICROCREDENCIALES</w:t>
      </w:r>
    </w:p>
    <w:p w:rsidR="00000000" w:rsidDel="00000000" w:rsidP="00000000" w:rsidRDefault="00000000" w:rsidRPr="00000000" w14:paraId="00000033">
      <w:pPr>
        <w:spacing w:after="280" w:before="120" w:lineRule="auto"/>
        <w:ind w:left="0" w:firstLine="0"/>
        <w:jc w:val="both"/>
        <w:rPr>
          <w:rFonts w:ascii="Arial" w:cs="Arial" w:eastAsia="Arial" w:hAnsi="Arial"/>
          <w:color w:val="231f20"/>
        </w:rPr>
      </w:pPr>
      <w:bookmarkStart w:colFirst="0" w:colLast="0" w:name="_heading=h.i8bxptgwo251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Obtención de cuatro microcrendenciales al concluir los dos años de la tecnología, entregando certificaciones digitales por 98 horas, en:</w:t>
      </w:r>
    </w:p>
    <w:p w:rsidR="00000000" w:rsidDel="00000000" w:rsidP="00000000" w:rsidRDefault="00000000" w:rsidRPr="00000000" w14:paraId="00000034">
      <w:pPr>
        <w:spacing w:after="280" w:before="120" w:lineRule="auto"/>
        <w:ind w:left="0" w:firstLine="0"/>
        <w:jc w:val="both"/>
        <w:rPr>
          <w:rFonts w:ascii="Arial" w:cs="Arial" w:eastAsia="Arial" w:hAnsi="Arial"/>
          <w:color w:val="231f20"/>
        </w:rPr>
      </w:pPr>
      <w:bookmarkStart w:colFirst="0" w:colLast="0" w:name="_heading=h.i8bxptgwo251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231f20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Certificación en liderazgo y estrategias de ventas</w:t>
      </w:r>
    </w:p>
    <w:p w:rsidR="00000000" w:rsidDel="00000000" w:rsidP="00000000" w:rsidRDefault="00000000" w:rsidRPr="00000000" w14:paraId="00000035">
      <w:pPr>
        <w:spacing w:after="280" w:before="120" w:lineRule="auto"/>
        <w:ind w:left="0" w:firstLine="0"/>
        <w:jc w:val="both"/>
        <w:rPr>
          <w:rFonts w:ascii="Arial" w:cs="Arial" w:eastAsia="Arial" w:hAnsi="Arial"/>
          <w:color w:val="231f20"/>
        </w:rPr>
      </w:pPr>
      <w:bookmarkStart w:colFirst="0" w:colLast="0" w:name="_heading=h.i8bxptgwo251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231f20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Certificación en estrategias avanzadas en mercadeo y emprendimiento</w:t>
      </w:r>
    </w:p>
    <w:p w:rsidR="00000000" w:rsidDel="00000000" w:rsidP="00000000" w:rsidRDefault="00000000" w:rsidRPr="00000000" w14:paraId="00000036">
      <w:pPr>
        <w:spacing w:after="280" w:before="120" w:lineRule="auto"/>
        <w:ind w:left="0" w:firstLine="0"/>
        <w:jc w:val="both"/>
        <w:rPr>
          <w:rFonts w:ascii="Arial" w:cs="Arial" w:eastAsia="Arial" w:hAnsi="Arial"/>
          <w:color w:val="231f20"/>
        </w:rPr>
      </w:pPr>
      <w:bookmarkStart w:colFirst="0" w:colLast="0" w:name="_heading=h.i8bxptgwo251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231f20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Certificación en gestión comercial y financiera estratégica con énfasis en CRM</w:t>
      </w:r>
    </w:p>
    <w:p w:rsidR="00000000" w:rsidDel="00000000" w:rsidP="00000000" w:rsidRDefault="00000000" w:rsidRPr="00000000" w14:paraId="00000037">
      <w:pPr>
        <w:spacing w:after="280" w:before="120" w:lineRule="auto"/>
        <w:ind w:left="0" w:firstLine="0"/>
        <w:jc w:val="both"/>
        <w:rPr>
          <w:rFonts w:ascii="Arial" w:cs="Arial" w:eastAsia="Arial" w:hAnsi="Arial"/>
          <w:color w:val="231f20"/>
        </w:rPr>
      </w:pPr>
      <w:bookmarkStart w:colFirst="0" w:colLast="0" w:name="_heading=h.i8bxptgwo251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Certificación en gestión estratégica de cuentas claves y análisis empresarial</w:t>
      </w:r>
    </w:p>
    <w:p w:rsidR="00000000" w:rsidDel="00000000" w:rsidP="00000000" w:rsidRDefault="00000000" w:rsidRPr="00000000" w14:paraId="00000038">
      <w:pPr>
        <w:rPr/>
      </w:pPr>
      <w:bookmarkStart w:colFirst="0" w:colLast="0" w:name="_heading=h.i8bxptgwo251" w:id="2"/>
      <w:bookmarkEnd w:id="2"/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PTGSSjcdEwe/zCwD6YeC2c772Q==">CgMxLjAyDmguemhxN200ZHR3YWR6Mg5oLnR6cGZiMnN5bHZudzIOaC5pOGJ4cHRnd28yNTEyDmguaThieHB0Z3dvMjUxMg5oLmk4YnhwdGd3bzI1MTIOaC5pOGJ4cHRnd28yNTEyDmguaThieHB0Z3dvMjUxMg5oLmk4YnhwdGd3bzI1MTgAciExd2w5ci1OdVhmSmphb19VaTdGakxfZ1NxaE9TdmxsWjg=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